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6F34" w14:textId="77777777" w:rsidR="00043589" w:rsidRDefault="00043589" w:rsidP="003D1E27">
      <w:pPr>
        <w:pStyle w:val="NormalWeb"/>
        <w:spacing w:before="0" w:beforeAutospacing="0" w:after="0" w:afterAutospacing="0" w:line="480" w:lineRule="auto"/>
        <w:jc w:val="center"/>
        <w:rPr>
          <w:color w:val="000000"/>
        </w:rPr>
      </w:pPr>
    </w:p>
    <w:p w14:paraId="09F75B7C" w14:textId="77777777" w:rsidR="00043589" w:rsidRPr="00140DE3" w:rsidRDefault="00043589" w:rsidP="00140DE3">
      <w:pPr>
        <w:pStyle w:val="Title"/>
        <w:jc w:val="center"/>
        <w:rPr>
          <w:rFonts w:ascii="Times New Roman" w:hAnsi="Times New Roman" w:cs="Times New Roman"/>
        </w:rPr>
      </w:pPr>
    </w:p>
    <w:p w14:paraId="0A4A5C4C" w14:textId="1892E9CE" w:rsidR="00C85D04" w:rsidRPr="00140DE3" w:rsidRDefault="00043589" w:rsidP="00140DE3">
      <w:pPr>
        <w:pStyle w:val="Title"/>
        <w:jc w:val="center"/>
        <w:rPr>
          <w:rFonts w:ascii="Times New Roman" w:hAnsi="Times New Roman" w:cs="Times New Roman"/>
          <w:b/>
          <w:bCs/>
          <w:sz w:val="28"/>
          <w:szCs w:val="28"/>
        </w:rPr>
      </w:pPr>
      <w:r w:rsidRPr="00140DE3">
        <w:rPr>
          <w:rFonts w:ascii="Times New Roman" w:hAnsi="Times New Roman" w:cs="Times New Roman"/>
          <w:b/>
          <w:bCs/>
          <w:sz w:val="28"/>
          <w:szCs w:val="28"/>
        </w:rPr>
        <w:t>Eco-cultural Management</w:t>
      </w:r>
      <w:r w:rsidR="00385474" w:rsidRPr="00140DE3">
        <w:rPr>
          <w:rFonts w:ascii="Times New Roman" w:hAnsi="Times New Roman" w:cs="Times New Roman"/>
          <w:b/>
          <w:bCs/>
          <w:sz w:val="28"/>
          <w:szCs w:val="28"/>
        </w:rPr>
        <w:t xml:space="preserve"> Implications of California Hazelnut Treatment with</w:t>
      </w:r>
      <w:r w:rsidR="00EB73C1">
        <w:rPr>
          <w:rFonts w:ascii="Times New Roman" w:hAnsi="Times New Roman" w:cs="Times New Roman"/>
          <w:b/>
          <w:bCs/>
          <w:sz w:val="28"/>
          <w:szCs w:val="28"/>
        </w:rPr>
        <w:t xml:space="preserve"> Wild and</w:t>
      </w:r>
      <w:r w:rsidR="00385474" w:rsidRPr="00140DE3">
        <w:rPr>
          <w:rFonts w:ascii="Times New Roman" w:hAnsi="Times New Roman" w:cs="Times New Roman"/>
          <w:b/>
          <w:bCs/>
          <w:sz w:val="28"/>
          <w:szCs w:val="28"/>
        </w:rPr>
        <w:t xml:space="preserve"> Prescribed Fire: A Case Study in </w:t>
      </w:r>
      <w:r w:rsidR="00382252" w:rsidRPr="00140DE3">
        <w:rPr>
          <w:rFonts w:ascii="Times New Roman" w:hAnsi="Times New Roman" w:cs="Times New Roman"/>
          <w:b/>
          <w:bCs/>
          <w:sz w:val="28"/>
          <w:szCs w:val="28"/>
        </w:rPr>
        <w:t>Northern Californ</w:t>
      </w:r>
      <w:r w:rsidR="00493DFE" w:rsidRPr="00140DE3">
        <w:rPr>
          <w:rFonts w:ascii="Times New Roman" w:hAnsi="Times New Roman" w:cs="Times New Roman"/>
          <w:b/>
          <w:bCs/>
          <w:sz w:val="28"/>
          <w:szCs w:val="28"/>
        </w:rPr>
        <w:t>ia</w:t>
      </w:r>
    </w:p>
    <w:p w14:paraId="78BBF86E" w14:textId="5E368061" w:rsidR="00043589" w:rsidRDefault="00043589" w:rsidP="00043589">
      <w:pPr>
        <w:pStyle w:val="NormalWeb"/>
        <w:spacing w:before="0" w:beforeAutospacing="0" w:after="0" w:afterAutospacing="0" w:line="480" w:lineRule="auto"/>
        <w:jc w:val="center"/>
        <w:rPr>
          <w:b/>
          <w:bCs/>
          <w:color w:val="000000"/>
        </w:rPr>
      </w:pPr>
    </w:p>
    <w:p w14:paraId="6BE80325" w14:textId="635FF458" w:rsidR="00043589" w:rsidRDefault="00043589" w:rsidP="00043589">
      <w:pPr>
        <w:pStyle w:val="NormalWeb"/>
        <w:spacing w:before="0" w:beforeAutospacing="0" w:after="0" w:afterAutospacing="0" w:line="480" w:lineRule="auto"/>
        <w:jc w:val="center"/>
        <w:rPr>
          <w:color w:val="000000"/>
        </w:rPr>
      </w:pPr>
      <w:r>
        <w:rPr>
          <w:color w:val="000000"/>
        </w:rPr>
        <w:t>By</w:t>
      </w:r>
    </w:p>
    <w:p w14:paraId="0BE78494" w14:textId="21A401FD" w:rsidR="00043589" w:rsidRDefault="00043589" w:rsidP="00043589">
      <w:pPr>
        <w:pStyle w:val="NormalWeb"/>
        <w:spacing w:before="0" w:beforeAutospacing="0" w:after="0" w:afterAutospacing="0" w:line="480" w:lineRule="auto"/>
        <w:jc w:val="center"/>
        <w:rPr>
          <w:color w:val="000000"/>
        </w:rPr>
      </w:pPr>
      <w:r w:rsidRPr="00043589">
        <w:rPr>
          <w:color w:val="000000"/>
        </w:rPr>
        <w:t>Gabriel A</w:t>
      </w:r>
      <w:r w:rsidR="00410B41">
        <w:rPr>
          <w:color w:val="000000"/>
        </w:rPr>
        <w:t>.</w:t>
      </w:r>
      <w:r w:rsidRPr="00043589">
        <w:rPr>
          <w:color w:val="000000"/>
        </w:rPr>
        <w:t xml:space="preserve"> Saiz</w:t>
      </w:r>
    </w:p>
    <w:p w14:paraId="28575AA1" w14:textId="3A3C9A58" w:rsidR="00043589" w:rsidRDefault="00043589" w:rsidP="00043589">
      <w:pPr>
        <w:pStyle w:val="NormalWeb"/>
        <w:spacing w:before="0" w:beforeAutospacing="0" w:after="0" w:afterAutospacing="0" w:line="480" w:lineRule="auto"/>
        <w:jc w:val="center"/>
        <w:rPr>
          <w:color w:val="000000"/>
        </w:rPr>
      </w:pPr>
    </w:p>
    <w:p w14:paraId="09BEBA2B" w14:textId="77777777" w:rsidR="00043589" w:rsidRDefault="00043589" w:rsidP="00043589">
      <w:pPr>
        <w:pStyle w:val="NormalWeb"/>
        <w:spacing w:before="0" w:beforeAutospacing="0" w:after="0" w:afterAutospacing="0" w:line="480" w:lineRule="auto"/>
        <w:jc w:val="center"/>
        <w:rPr>
          <w:color w:val="000000"/>
        </w:rPr>
      </w:pPr>
      <w:r w:rsidRPr="00043589">
        <w:rPr>
          <w:color w:val="000000"/>
        </w:rPr>
        <w:t xml:space="preserve">Submitted to the Earth Systems Honors Program </w:t>
      </w:r>
    </w:p>
    <w:p w14:paraId="41FA033A" w14:textId="74F8C6AE" w:rsidR="00043589" w:rsidRDefault="00043589" w:rsidP="00043589">
      <w:pPr>
        <w:pStyle w:val="NormalWeb"/>
        <w:spacing w:before="0" w:beforeAutospacing="0" w:after="0" w:afterAutospacing="0" w:line="480" w:lineRule="auto"/>
        <w:jc w:val="center"/>
        <w:rPr>
          <w:color w:val="000000"/>
        </w:rPr>
      </w:pPr>
      <w:r w:rsidRPr="00043589">
        <w:rPr>
          <w:color w:val="000000"/>
        </w:rPr>
        <w:t>in Partial Fulfillment of the Honors Requirement</w:t>
      </w:r>
    </w:p>
    <w:p w14:paraId="06EAF0DC" w14:textId="5C351B89" w:rsidR="00043589" w:rsidRDefault="00043589" w:rsidP="00043589">
      <w:pPr>
        <w:pStyle w:val="NormalWeb"/>
        <w:spacing w:before="0" w:beforeAutospacing="0" w:after="0" w:afterAutospacing="0" w:line="480" w:lineRule="auto"/>
        <w:jc w:val="center"/>
        <w:rPr>
          <w:color w:val="000000"/>
        </w:rPr>
      </w:pPr>
      <w:r>
        <w:rPr>
          <w:color w:val="000000"/>
        </w:rPr>
        <w:t>School of Earth, Energy, and Environmental Sciences</w:t>
      </w:r>
    </w:p>
    <w:p w14:paraId="7C6E383F" w14:textId="3C555B89" w:rsidR="00410B41" w:rsidRDefault="00410B41" w:rsidP="00043589">
      <w:pPr>
        <w:pStyle w:val="NormalWeb"/>
        <w:spacing w:before="0" w:beforeAutospacing="0" w:after="0" w:afterAutospacing="0" w:line="480" w:lineRule="auto"/>
        <w:jc w:val="center"/>
        <w:rPr>
          <w:color w:val="000000"/>
        </w:rPr>
      </w:pPr>
      <w:r>
        <w:rPr>
          <w:color w:val="000000"/>
        </w:rPr>
        <w:t>May 8, 2020</w:t>
      </w:r>
    </w:p>
    <w:p w14:paraId="31A55F3A" w14:textId="2792EE6C" w:rsidR="00410B41" w:rsidRDefault="00410B41" w:rsidP="00410B41">
      <w:pPr>
        <w:pStyle w:val="NormalWeb"/>
        <w:spacing w:before="0" w:beforeAutospacing="0" w:after="0" w:afterAutospacing="0" w:line="480" w:lineRule="auto"/>
        <w:jc w:val="right"/>
        <w:rPr>
          <w:color w:val="000000"/>
        </w:rPr>
      </w:pPr>
      <w:r>
        <w:rPr>
          <w:color w:val="000000"/>
        </w:rPr>
        <w:t>Peter Vitousek</w:t>
      </w:r>
    </w:p>
    <w:p w14:paraId="4AD1787B" w14:textId="6FB5E410" w:rsidR="00410B41" w:rsidRDefault="00410B41" w:rsidP="00410B41">
      <w:pPr>
        <w:pStyle w:val="NormalWeb"/>
        <w:spacing w:before="0" w:beforeAutospacing="0" w:after="0" w:afterAutospacing="0" w:line="480" w:lineRule="auto"/>
        <w:jc w:val="right"/>
        <w:rPr>
          <w:color w:val="000000"/>
        </w:rPr>
      </w:pPr>
      <w:r>
        <w:rPr>
          <w:color w:val="000000"/>
        </w:rPr>
        <w:t>Department of Biology</w:t>
      </w:r>
    </w:p>
    <w:p w14:paraId="2FFB2F3A" w14:textId="57125436" w:rsidR="00410B41" w:rsidRDefault="00410B41" w:rsidP="00410B41">
      <w:pPr>
        <w:pStyle w:val="NormalWeb"/>
        <w:spacing w:before="0" w:beforeAutospacing="0" w:after="0" w:afterAutospacing="0" w:line="480" w:lineRule="auto"/>
        <w:jc w:val="right"/>
        <w:rPr>
          <w:color w:val="000000"/>
        </w:rPr>
      </w:pPr>
      <w:r>
        <w:rPr>
          <w:color w:val="000000"/>
        </w:rPr>
        <w:t>Stanford University</w:t>
      </w:r>
    </w:p>
    <w:p w14:paraId="75357D65" w14:textId="20188D78" w:rsidR="00410B41" w:rsidRDefault="00410B41" w:rsidP="00410B41">
      <w:pPr>
        <w:pStyle w:val="NormalWeb"/>
        <w:spacing w:before="0" w:beforeAutospacing="0" w:after="0" w:afterAutospacing="0" w:line="480" w:lineRule="auto"/>
        <w:jc w:val="right"/>
        <w:rPr>
          <w:color w:val="000000"/>
        </w:rPr>
      </w:pPr>
    </w:p>
    <w:p w14:paraId="68F7FF25" w14:textId="5AAB0203" w:rsidR="00410B41" w:rsidRDefault="00410B41" w:rsidP="00410B41">
      <w:pPr>
        <w:pStyle w:val="NormalWeb"/>
        <w:spacing w:before="0" w:beforeAutospacing="0" w:after="0" w:afterAutospacing="0" w:line="480" w:lineRule="auto"/>
        <w:jc w:val="right"/>
        <w:rPr>
          <w:color w:val="000000"/>
        </w:rPr>
      </w:pPr>
      <w:r>
        <w:rPr>
          <w:color w:val="000000"/>
        </w:rPr>
        <w:t>Lisa Curran</w:t>
      </w:r>
    </w:p>
    <w:p w14:paraId="6D791FA7" w14:textId="0D05F6F7" w:rsidR="00410B41" w:rsidRDefault="00410B41" w:rsidP="00410B41">
      <w:pPr>
        <w:pStyle w:val="NormalWeb"/>
        <w:spacing w:before="0" w:beforeAutospacing="0" w:after="0" w:afterAutospacing="0" w:line="480" w:lineRule="auto"/>
        <w:jc w:val="right"/>
        <w:rPr>
          <w:color w:val="000000"/>
        </w:rPr>
      </w:pPr>
      <w:r>
        <w:rPr>
          <w:color w:val="000000"/>
        </w:rPr>
        <w:t>Department of Anthropology</w:t>
      </w:r>
    </w:p>
    <w:p w14:paraId="38E01A61" w14:textId="0AED1948" w:rsidR="00410B41" w:rsidRDefault="00410B41" w:rsidP="00410B41">
      <w:pPr>
        <w:pStyle w:val="NormalWeb"/>
        <w:spacing w:before="0" w:beforeAutospacing="0" w:after="0" w:afterAutospacing="0" w:line="480" w:lineRule="auto"/>
        <w:jc w:val="right"/>
        <w:rPr>
          <w:color w:val="000000"/>
        </w:rPr>
      </w:pPr>
      <w:r>
        <w:rPr>
          <w:color w:val="000000"/>
        </w:rPr>
        <w:t>Stanford University</w:t>
      </w:r>
    </w:p>
    <w:p w14:paraId="44EF8AB1" w14:textId="34A8703C" w:rsidR="00410B41" w:rsidRDefault="00410B41" w:rsidP="00410B41">
      <w:pPr>
        <w:pStyle w:val="NormalWeb"/>
        <w:spacing w:before="0" w:beforeAutospacing="0" w:after="0" w:afterAutospacing="0" w:line="480" w:lineRule="auto"/>
        <w:jc w:val="right"/>
        <w:rPr>
          <w:color w:val="000000"/>
        </w:rPr>
      </w:pPr>
    </w:p>
    <w:p w14:paraId="3CE66FA9" w14:textId="67351383" w:rsidR="00410B41" w:rsidRDefault="00410B41" w:rsidP="00410B41">
      <w:pPr>
        <w:pStyle w:val="NormalWeb"/>
        <w:spacing w:before="0" w:beforeAutospacing="0" w:after="0" w:afterAutospacing="0" w:line="480" w:lineRule="auto"/>
        <w:jc w:val="right"/>
        <w:rPr>
          <w:color w:val="000000"/>
        </w:rPr>
      </w:pPr>
      <w:r>
        <w:rPr>
          <w:color w:val="000000"/>
        </w:rPr>
        <w:t>Karen Casciotti</w:t>
      </w:r>
    </w:p>
    <w:p w14:paraId="7A3A8305" w14:textId="49DFBF8D" w:rsidR="00410B41" w:rsidRDefault="00410B41" w:rsidP="00410B41">
      <w:pPr>
        <w:pStyle w:val="NormalWeb"/>
        <w:spacing w:before="0" w:beforeAutospacing="0" w:after="0" w:afterAutospacing="0" w:line="480" w:lineRule="auto"/>
        <w:jc w:val="right"/>
        <w:rPr>
          <w:color w:val="000000"/>
        </w:rPr>
      </w:pPr>
      <w:r>
        <w:rPr>
          <w:color w:val="000000"/>
        </w:rPr>
        <w:t>Earth Systems Program Director</w:t>
      </w:r>
    </w:p>
    <w:p w14:paraId="4B0849C8" w14:textId="60650A83" w:rsidR="00011415" w:rsidRDefault="00A86520" w:rsidP="000341FF">
      <w:pPr>
        <w:pStyle w:val="NormalWeb"/>
        <w:spacing w:before="0" w:beforeAutospacing="0" w:after="0" w:afterAutospacing="0" w:line="480" w:lineRule="auto"/>
        <w:jc w:val="right"/>
        <w:rPr>
          <w:color w:val="000000"/>
        </w:rPr>
        <w:sectPr w:rsidR="00011415" w:rsidSect="00011415">
          <w:headerReference w:type="even" r:id="rId8"/>
          <w:headerReference w:type="default" r:id="rId9"/>
          <w:footerReference w:type="even" r:id="rId10"/>
          <w:footerReference w:type="default" r:id="rId11"/>
          <w:pgSz w:w="12240" w:h="15840"/>
          <w:pgMar w:top="1440" w:right="1440" w:bottom="1440" w:left="1440" w:header="720" w:footer="720" w:gutter="0"/>
          <w:pgNumType w:fmt="lowerRoman" w:start="1"/>
          <w:cols w:space="720"/>
          <w:docGrid w:linePitch="360"/>
        </w:sectPr>
      </w:pPr>
      <w:r>
        <w:rPr>
          <w:noProof/>
          <w:color w:val="000000"/>
        </w:rPr>
        <mc:AlternateContent>
          <mc:Choice Requires="wps">
            <w:drawing>
              <wp:anchor distT="0" distB="0" distL="114300" distR="114300" simplePos="0" relativeHeight="251659264" behindDoc="0" locked="0" layoutInCell="1" allowOverlap="1" wp14:anchorId="1F512CA4" wp14:editId="4E1AA8D2">
                <wp:simplePos x="0" y="0"/>
                <wp:positionH relativeFrom="column">
                  <wp:posOffset>2782957</wp:posOffset>
                </wp:positionH>
                <wp:positionV relativeFrom="paragraph">
                  <wp:posOffset>1070527</wp:posOffset>
                </wp:positionV>
                <wp:extent cx="410817" cy="344557"/>
                <wp:effectExtent l="0" t="0" r="0" b="0"/>
                <wp:wrapNone/>
                <wp:docPr id="17" name="Rectangle 17"/>
                <wp:cNvGraphicFramePr/>
                <a:graphic xmlns:a="http://schemas.openxmlformats.org/drawingml/2006/main">
                  <a:graphicData uri="http://schemas.microsoft.com/office/word/2010/wordprocessingShape">
                    <wps:wsp>
                      <wps:cNvSpPr/>
                      <wps:spPr>
                        <a:xfrm>
                          <a:off x="0" y="0"/>
                          <a:ext cx="410817" cy="34455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27FFD" id="Rectangle 17" o:spid="_x0000_s1026" style="position:absolute;margin-left:219.15pt;margin-top:84.3pt;width:32.35pt;height:2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" fillcolor="white [3201]" stroked="f" strokeweight="1pt"/>
            </w:pict>
          </mc:Fallback>
        </mc:AlternateContent>
      </w:r>
      <w:r w:rsidR="00410B41">
        <w:rPr>
          <w:color w:val="000000"/>
        </w:rPr>
        <w:t>Stanford Universi</w:t>
      </w:r>
      <w:r w:rsidR="00011415">
        <w:rPr>
          <w:color w:val="000000"/>
        </w:rPr>
        <w:t>t</w:t>
      </w:r>
      <w:r>
        <w:rPr>
          <w:color w:val="000000"/>
        </w:rPr>
        <w:t>y</w:t>
      </w:r>
    </w:p>
    <w:p w14:paraId="6063B694" w14:textId="65B827E5" w:rsidR="00011415" w:rsidRDefault="00A86520" w:rsidP="00011415">
      <w:pPr>
        <w:pStyle w:val="NormalWeb"/>
        <w:spacing w:before="0" w:beforeAutospacing="0" w:after="0" w:afterAutospacing="0" w:line="480" w:lineRule="auto"/>
        <w:rPr>
          <w:color w:val="000000"/>
        </w:rPr>
        <w:sectPr w:rsidR="00011415" w:rsidSect="00011415">
          <w:pgSz w:w="12240" w:h="15840"/>
          <w:pgMar w:top="1440" w:right="1440" w:bottom="1440" w:left="1440" w:header="720" w:footer="720" w:gutter="0"/>
          <w:pgNumType w:fmt="lowerRoman" w:start="1"/>
          <w:cols w:space="720"/>
          <w:docGrid w:linePitch="360"/>
        </w:sectPr>
      </w:pPr>
      <w:r>
        <w:rPr>
          <w:noProof/>
          <w:color w:val="000000"/>
        </w:rPr>
        <w:lastRenderedPageBreak/>
        <mc:AlternateContent>
          <mc:Choice Requires="wps">
            <w:drawing>
              <wp:anchor distT="0" distB="0" distL="114300" distR="114300" simplePos="0" relativeHeight="251660288" behindDoc="0" locked="0" layoutInCell="1" allowOverlap="1" wp14:anchorId="64DF5B46" wp14:editId="52F706FA">
                <wp:simplePos x="0" y="0"/>
                <wp:positionH relativeFrom="column">
                  <wp:posOffset>2729948</wp:posOffset>
                </wp:positionH>
                <wp:positionV relativeFrom="paragraph">
                  <wp:posOffset>8521148</wp:posOffset>
                </wp:positionV>
                <wp:extent cx="490330" cy="477078"/>
                <wp:effectExtent l="0" t="0" r="5080" b="5715"/>
                <wp:wrapNone/>
                <wp:docPr id="18" name="Rectangle 18"/>
                <wp:cNvGraphicFramePr/>
                <a:graphic xmlns:a="http://schemas.openxmlformats.org/drawingml/2006/main">
                  <a:graphicData uri="http://schemas.microsoft.com/office/word/2010/wordprocessingShape">
                    <wps:wsp>
                      <wps:cNvSpPr/>
                      <wps:spPr>
                        <a:xfrm>
                          <a:off x="0" y="0"/>
                          <a:ext cx="490330" cy="47707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C9098" id="Rectangle 18" o:spid="_x0000_s1026" style="position:absolute;margin-left:214.95pt;margin-top:670.95pt;width:38.6pt;height:37.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" fillcolor="white [3212]" stroked="f" strokeweight="1pt"/>
            </w:pict>
          </mc:Fallback>
        </mc:AlternateContent>
      </w:r>
    </w:p>
    <w:p w14:paraId="140CE309" w14:textId="7861C7FF" w:rsidR="000341FF" w:rsidRDefault="000341FF" w:rsidP="00A86520">
      <w:pPr>
        <w:pStyle w:val="NormalWeb"/>
        <w:spacing w:before="0" w:beforeAutospacing="0" w:after="0" w:afterAutospacing="0" w:line="480" w:lineRule="auto"/>
        <w:jc w:val="center"/>
        <w:rPr>
          <w:color w:val="000000"/>
        </w:rPr>
      </w:pPr>
      <w:r>
        <w:rPr>
          <w:color w:val="000000"/>
        </w:rPr>
        <w:lastRenderedPageBreak/>
        <w:t>Acknowledgements</w:t>
      </w:r>
    </w:p>
    <w:p w14:paraId="629BE581" w14:textId="79538263" w:rsidR="000341FF" w:rsidRPr="000341FF" w:rsidRDefault="000341FF" w:rsidP="00491738">
      <w:pPr>
        <w:pStyle w:val="NormalWeb"/>
        <w:spacing w:before="0" w:beforeAutospacing="0" w:after="0" w:afterAutospacing="0"/>
        <w:ind w:firstLine="720"/>
        <w:rPr>
          <w:color w:val="000000"/>
        </w:rPr>
      </w:pPr>
      <w:r>
        <w:rPr>
          <w:color w:val="000000"/>
        </w:rPr>
        <w:t>I would like to thank Tony Marks-Block for guiding me from beginning to end, not only for this project, but for my entire career up to this point at Stanford. I would like to thank Peter Vitousek and Lisa Curran for teaching me how to conduct interdisciplinary research and encouraging me to do research that will benefit indigenous communities</w:t>
      </w:r>
      <w:r w:rsidR="00491738">
        <w:rPr>
          <w:color w:val="000000"/>
        </w:rPr>
        <w:t xml:space="preserve">. I would like to thank the Karuk, Yurok, and Hupa tribes for allowing me to exist on and benefit from their </w:t>
      </w:r>
      <w:r w:rsidR="00B12DD3">
        <w:rPr>
          <w:color w:val="000000"/>
        </w:rPr>
        <w:t>lands</w:t>
      </w:r>
      <w:r w:rsidR="00491738">
        <w:rPr>
          <w:color w:val="000000"/>
        </w:rPr>
        <w:t>. I would like to thank Janet Hillman for giving me a place to stay during my first summer of research. Lastly, I would like to thank everyone that has supported me at Stanford for the past 4 years.</w:t>
      </w:r>
    </w:p>
    <w:p w14:paraId="38CC4C3C" w14:textId="77777777" w:rsidR="00043589" w:rsidRDefault="00043589" w:rsidP="00C85D04">
      <w:pPr>
        <w:pStyle w:val="NormalWeb"/>
        <w:spacing w:before="0" w:beforeAutospacing="0" w:after="0" w:afterAutospacing="0" w:line="480" w:lineRule="auto"/>
        <w:jc w:val="center"/>
        <w:rPr>
          <w:b/>
          <w:bCs/>
          <w:color w:val="000000"/>
        </w:rPr>
      </w:pPr>
    </w:p>
    <w:p w14:paraId="515C7C0F" w14:textId="77777777" w:rsidR="00043589" w:rsidRDefault="00043589" w:rsidP="00C85D04">
      <w:pPr>
        <w:pStyle w:val="NormalWeb"/>
        <w:spacing w:before="0" w:beforeAutospacing="0" w:after="0" w:afterAutospacing="0" w:line="480" w:lineRule="auto"/>
        <w:jc w:val="center"/>
        <w:rPr>
          <w:b/>
          <w:bCs/>
          <w:color w:val="000000"/>
        </w:rPr>
      </w:pPr>
    </w:p>
    <w:p w14:paraId="5970A531" w14:textId="77777777" w:rsidR="00043589" w:rsidRDefault="00043589" w:rsidP="00C85D04">
      <w:pPr>
        <w:pStyle w:val="NormalWeb"/>
        <w:spacing w:before="0" w:beforeAutospacing="0" w:after="0" w:afterAutospacing="0" w:line="480" w:lineRule="auto"/>
        <w:jc w:val="center"/>
        <w:rPr>
          <w:b/>
          <w:bCs/>
          <w:color w:val="000000"/>
        </w:rPr>
      </w:pPr>
    </w:p>
    <w:p w14:paraId="72C993CB" w14:textId="77777777" w:rsidR="00043589" w:rsidRDefault="00043589" w:rsidP="00C85D04">
      <w:pPr>
        <w:pStyle w:val="NormalWeb"/>
        <w:spacing w:before="0" w:beforeAutospacing="0" w:after="0" w:afterAutospacing="0" w:line="480" w:lineRule="auto"/>
        <w:jc w:val="center"/>
        <w:rPr>
          <w:b/>
          <w:bCs/>
          <w:color w:val="000000"/>
        </w:rPr>
      </w:pPr>
    </w:p>
    <w:p w14:paraId="0A094D03" w14:textId="77777777" w:rsidR="00043589" w:rsidRDefault="00043589" w:rsidP="00C85D04">
      <w:pPr>
        <w:pStyle w:val="NormalWeb"/>
        <w:spacing w:before="0" w:beforeAutospacing="0" w:after="0" w:afterAutospacing="0" w:line="480" w:lineRule="auto"/>
        <w:jc w:val="center"/>
        <w:rPr>
          <w:b/>
          <w:bCs/>
          <w:color w:val="000000"/>
        </w:rPr>
      </w:pPr>
    </w:p>
    <w:p w14:paraId="1488B14A" w14:textId="77777777" w:rsidR="00043589" w:rsidRDefault="00043589" w:rsidP="00C85D04">
      <w:pPr>
        <w:pStyle w:val="NormalWeb"/>
        <w:spacing w:before="0" w:beforeAutospacing="0" w:after="0" w:afterAutospacing="0" w:line="480" w:lineRule="auto"/>
        <w:jc w:val="center"/>
        <w:rPr>
          <w:b/>
          <w:bCs/>
          <w:color w:val="000000"/>
        </w:rPr>
      </w:pPr>
    </w:p>
    <w:p w14:paraId="172D6E65" w14:textId="77777777" w:rsidR="00043589" w:rsidRDefault="00043589" w:rsidP="00C85D04">
      <w:pPr>
        <w:pStyle w:val="NormalWeb"/>
        <w:spacing w:before="0" w:beforeAutospacing="0" w:after="0" w:afterAutospacing="0" w:line="480" w:lineRule="auto"/>
        <w:jc w:val="center"/>
        <w:rPr>
          <w:b/>
          <w:bCs/>
          <w:color w:val="000000"/>
        </w:rPr>
      </w:pPr>
    </w:p>
    <w:p w14:paraId="64E3BEA5" w14:textId="77777777" w:rsidR="00043589" w:rsidRDefault="00043589" w:rsidP="00C85D04">
      <w:pPr>
        <w:pStyle w:val="NormalWeb"/>
        <w:spacing w:before="0" w:beforeAutospacing="0" w:after="0" w:afterAutospacing="0" w:line="480" w:lineRule="auto"/>
        <w:jc w:val="center"/>
        <w:rPr>
          <w:b/>
          <w:bCs/>
          <w:color w:val="000000"/>
        </w:rPr>
      </w:pPr>
    </w:p>
    <w:p w14:paraId="2A516175" w14:textId="77777777" w:rsidR="00043589" w:rsidRDefault="00043589" w:rsidP="00C85D04">
      <w:pPr>
        <w:pStyle w:val="NormalWeb"/>
        <w:spacing w:before="0" w:beforeAutospacing="0" w:after="0" w:afterAutospacing="0" w:line="480" w:lineRule="auto"/>
        <w:jc w:val="center"/>
        <w:rPr>
          <w:b/>
          <w:bCs/>
          <w:color w:val="000000"/>
        </w:rPr>
      </w:pPr>
    </w:p>
    <w:p w14:paraId="2071DB59" w14:textId="77777777" w:rsidR="00043589" w:rsidRDefault="00043589" w:rsidP="00C85D04">
      <w:pPr>
        <w:pStyle w:val="NormalWeb"/>
        <w:spacing w:before="0" w:beforeAutospacing="0" w:after="0" w:afterAutospacing="0" w:line="480" w:lineRule="auto"/>
        <w:jc w:val="center"/>
        <w:rPr>
          <w:b/>
          <w:bCs/>
          <w:color w:val="000000"/>
        </w:rPr>
      </w:pPr>
    </w:p>
    <w:p w14:paraId="4080928D" w14:textId="77777777" w:rsidR="00043589" w:rsidRDefault="00043589" w:rsidP="00C85D04">
      <w:pPr>
        <w:pStyle w:val="NormalWeb"/>
        <w:spacing w:before="0" w:beforeAutospacing="0" w:after="0" w:afterAutospacing="0" w:line="480" w:lineRule="auto"/>
        <w:jc w:val="center"/>
        <w:rPr>
          <w:b/>
          <w:bCs/>
          <w:color w:val="000000"/>
        </w:rPr>
      </w:pPr>
    </w:p>
    <w:p w14:paraId="128BD68D" w14:textId="77777777" w:rsidR="00491738" w:rsidRDefault="00491738" w:rsidP="00140DE3">
      <w:pPr>
        <w:pStyle w:val="NormalWeb"/>
        <w:spacing w:before="0" w:beforeAutospacing="0" w:after="0" w:afterAutospacing="0" w:line="480" w:lineRule="auto"/>
        <w:rPr>
          <w:b/>
          <w:bCs/>
          <w:color w:val="000000"/>
        </w:rPr>
      </w:pPr>
    </w:p>
    <w:p w14:paraId="73E360FD" w14:textId="77777777" w:rsidR="00491738" w:rsidRDefault="00491738" w:rsidP="00C85D04">
      <w:pPr>
        <w:pStyle w:val="NormalWeb"/>
        <w:spacing w:before="0" w:beforeAutospacing="0" w:after="0" w:afterAutospacing="0" w:line="480" w:lineRule="auto"/>
        <w:jc w:val="center"/>
        <w:rPr>
          <w:b/>
          <w:bCs/>
          <w:color w:val="000000"/>
        </w:rPr>
      </w:pPr>
    </w:p>
    <w:p w14:paraId="046826AB" w14:textId="77777777" w:rsidR="00491738" w:rsidRDefault="00491738" w:rsidP="00C85D04">
      <w:pPr>
        <w:pStyle w:val="NormalWeb"/>
        <w:spacing w:before="0" w:beforeAutospacing="0" w:after="0" w:afterAutospacing="0" w:line="480" w:lineRule="auto"/>
        <w:jc w:val="center"/>
        <w:rPr>
          <w:b/>
          <w:bCs/>
          <w:color w:val="000000"/>
        </w:rPr>
      </w:pPr>
    </w:p>
    <w:p w14:paraId="5CB43690" w14:textId="77777777" w:rsidR="00491738" w:rsidRDefault="00491738" w:rsidP="00C85D04">
      <w:pPr>
        <w:pStyle w:val="NormalWeb"/>
        <w:spacing w:before="0" w:beforeAutospacing="0" w:after="0" w:afterAutospacing="0" w:line="480" w:lineRule="auto"/>
        <w:jc w:val="center"/>
        <w:rPr>
          <w:b/>
          <w:bCs/>
          <w:color w:val="000000"/>
        </w:rPr>
      </w:pPr>
    </w:p>
    <w:p w14:paraId="33C63483" w14:textId="77777777" w:rsidR="00491738" w:rsidRDefault="00491738" w:rsidP="00C85D04">
      <w:pPr>
        <w:pStyle w:val="NormalWeb"/>
        <w:spacing w:before="0" w:beforeAutospacing="0" w:after="0" w:afterAutospacing="0" w:line="480" w:lineRule="auto"/>
        <w:jc w:val="center"/>
        <w:rPr>
          <w:b/>
          <w:bCs/>
          <w:color w:val="000000"/>
        </w:rPr>
      </w:pPr>
    </w:p>
    <w:p w14:paraId="0CD8EB89" w14:textId="77777777" w:rsidR="00491738" w:rsidRDefault="00491738" w:rsidP="00C85D04">
      <w:pPr>
        <w:pStyle w:val="NormalWeb"/>
        <w:spacing w:before="0" w:beforeAutospacing="0" w:after="0" w:afterAutospacing="0" w:line="480" w:lineRule="auto"/>
        <w:jc w:val="center"/>
        <w:rPr>
          <w:b/>
          <w:bCs/>
          <w:color w:val="000000"/>
        </w:rPr>
      </w:pPr>
    </w:p>
    <w:p w14:paraId="4CFA7C38" w14:textId="77777777" w:rsidR="00491738" w:rsidRDefault="00491738" w:rsidP="00140DE3">
      <w:pPr>
        <w:pStyle w:val="NormalWeb"/>
        <w:spacing w:before="0" w:beforeAutospacing="0" w:after="0" w:afterAutospacing="0" w:line="480" w:lineRule="auto"/>
        <w:rPr>
          <w:b/>
          <w:bCs/>
          <w:color w:val="000000"/>
        </w:rPr>
      </w:pPr>
    </w:p>
    <w:p w14:paraId="23BF7DB8" w14:textId="71B52287" w:rsidR="00C85D04" w:rsidRPr="00043589" w:rsidRDefault="00C85D04" w:rsidP="00C85D04">
      <w:pPr>
        <w:pStyle w:val="NormalWeb"/>
        <w:spacing w:before="0" w:beforeAutospacing="0" w:after="0" w:afterAutospacing="0" w:line="480" w:lineRule="auto"/>
        <w:jc w:val="center"/>
        <w:rPr>
          <w:b/>
          <w:bCs/>
          <w:color w:val="000000"/>
        </w:rPr>
      </w:pPr>
      <w:r w:rsidRPr="00043589">
        <w:rPr>
          <w:b/>
          <w:bCs/>
          <w:color w:val="000000"/>
        </w:rPr>
        <w:lastRenderedPageBreak/>
        <w:t>Abstract</w:t>
      </w:r>
    </w:p>
    <w:p w14:paraId="6CFB57A3" w14:textId="74BD4A98" w:rsidR="00C85D04" w:rsidRPr="00043589" w:rsidRDefault="00C85D04" w:rsidP="009A461D">
      <w:pPr>
        <w:spacing w:line="480" w:lineRule="auto"/>
        <w:ind w:firstLine="720"/>
      </w:pPr>
      <w:r w:rsidRPr="00043589">
        <w:t>The</w:t>
      </w:r>
      <w:r w:rsidR="00E866BF">
        <w:t xml:space="preserve"> tribal nations </w:t>
      </w:r>
      <w:r w:rsidRPr="00043589">
        <w:t xml:space="preserve">of </w:t>
      </w:r>
      <w:r w:rsidR="00E866BF">
        <w:t>n</w:t>
      </w:r>
      <w:r w:rsidRPr="00043589">
        <w:t xml:space="preserve">orthwest California </w:t>
      </w:r>
      <w:r w:rsidR="007E1575">
        <w:t>are</w:t>
      </w:r>
      <w:r w:rsidRPr="00043589">
        <w:t xml:space="preserve"> restoring their practice of </w:t>
      </w:r>
      <w:r w:rsidR="007E1575">
        <w:t xml:space="preserve">cultural </w:t>
      </w:r>
      <w:r w:rsidRPr="00043589">
        <w:t>prescribed burning to facilitate the regeneration of basket-making materials, medicines, and food. Among the</w:t>
      </w:r>
      <w:r w:rsidR="009A461D" w:rsidRPr="00043589">
        <w:t xml:space="preserve"> cultural</w:t>
      </w:r>
      <w:r w:rsidRPr="00043589">
        <w:t xml:space="preserve"> foods are California hazelnut</w:t>
      </w:r>
      <w:r w:rsidR="009A461D" w:rsidRPr="00043589">
        <w:t xml:space="preserve"> nuts</w:t>
      </w:r>
      <w:r w:rsidRPr="00043589">
        <w:t xml:space="preserve"> (</w:t>
      </w:r>
      <w:r w:rsidRPr="00043589">
        <w:rPr>
          <w:i/>
        </w:rPr>
        <w:t xml:space="preserve">corylus cornuta </w:t>
      </w:r>
      <w:r w:rsidRPr="00043589">
        <w:t xml:space="preserve">var. </w:t>
      </w:r>
      <w:r w:rsidRPr="00043589">
        <w:rPr>
          <w:i/>
        </w:rPr>
        <w:t>californica</w:t>
      </w:r>
      <w:r w:rsidR="009A461D" w:rsidRPr="00043589">
        <w:t>). California hazelnut nut</w:t>
      </w:r>
      <w:r w:rsidRPr="00043589">
        <w:t xml:space="preserve"> production </w:t>
      </w:r>
      <w:r w:rsidR="009A461D" w:rsidRPr="00043589">
        <w:t xml:space="preserve">was hypothesized to </w:t>
      </w:r>
      <w:r w:rsidRPr="00043589">
        <w:t xml:space="preserve">improve through the application of fire at </w:t>
      </w:r>
      <w:r w:rsidR="009A461D" w:rsidRPr="00043589">
        <w:t xml:space="preserve">certain points in the development of hazelnut stands and the </w:t>
      </w:r>
      <w:r w:rsidR="00F60C4F">
        <w:t>biological communities surrounding them</w:t>
      </w:r>
      <w:r w:rsidRPr="00043589">
        <w:t xml:space="preserve">. In order to investigate the effect of </w:t>
      </w:r>
      <w:r w:rsidR="00F60C4F">
        <w:t>fire</w:t>
      </w:r>
      <w:r w:rsidRPr="00043589">
        <w:t xml:space="preserve"> on California hazelnut nut</w:t>
      </w:r>
      <w:r w:rsidR="009A461D" w:rsidRPr="00043589">
        <w:t xml:space="preserve"> </w:t>
      </w:r>
      <w:r w:rsidRPr="00043589">
        <w:t>productivity, multiple 100 m</w:t>
      </w:r>
      <w:r w:rsidRPr="00043589">
        <w:rPr>
          <w:vertAlign w:val="superscript"/>
        </w:rPr>
        <w:t xml:space="preserve">2 </w:t>
      </w:r>
      <w:r w:rsidR="009A461D" w:rsidRPr="00043589">
        <w:t xml:space="preserve">sampling </w:t>
      </w:r>
      <w:r w:rsidRPr="00043589">
        <w:t>plots</w:t>
      </w:r>
      <w:r w:rsidR="009A461D" w:rsidRPr="00043589">
        <w:t xml:space="preserve"> were created</w:t>
      </w:r>
      <w:r w:rsidRPr="00043589">
        <w:t xml:space="preserve"> within areas where wildfires or prescribed burns had occurred, and areas where they have not occurred in &gt;13 years. In those plots, </w:t>
      </w:r>
      <w:r w:rsidR="009A461D" w:rsidRPr="00043589">
        <w:t>precipitation</w:t>
      </w:r>
      <w:r w:rsidRPr="00043589">
        <w:t>, nut</w:t>
      </w:r>
      <w:r w:rsidR="009A461D" w:rsidRPr="00043589">
        <w:t>s per shrub,</w:t>
      </w:r>
      <w:r w:rsidRPr="00043589">
        <w:t xml:space="preserve"> </w:t>
      </w:r>
      <w:r w:rsidR="009A461D" w:rsidRPr="00043589">
        <w:t>solar access of individual shrubs</w:t>
      </w:r>
      <w:r w:rsidRPr="00043589">
        <w:t>,</w:t>
      </w:r>
      <w:r w:rsidR="009A461D" w:rsidRPr="00043589">
        <w:t xml:space="preserve"> stem diameter, number of stems, among other relevant factors in nut production were measured. </w:t>
      </w:r>
      <w:r w:rsidRPr="00043589">
        <w:t xml:space="preserve"> </w:t>
      </w:r>
      <w:r w:rsidR="00F60C4F">
        <w:t>Time since last fire (</w:t>
      </w:r>
      <w:r w:rsidR="009A461D" w:rsidRPr="00043589">
        <w:t>TSLF</w:t>
      </w:r>
      <w:r w:rsidR="00F60C4F">
        <w:t>)</w:t>
      </w:r>
      <w:r w:rsidR="009A461D" w:rsidRPr="00043589">
        <w:t xml:space="preserve"> was later calculated</w:t>
      </w:r>
      <w:r w:rsidRPr="00043589">
        <w:t xml:space="preserve"> based upon CalFire fire perimeter maps. Monitoring areas were identified through the local knowledge of Tribal and U</w:t>
      </w:r>
      <w:r w:rsidR="00F60C4F">
        <w:t>nited States</w:t>
      </w:r>
      <w:r w:rsidRPr="00043589">
        <w:t xml:space="preserve"> Forest Service staff. </w:t>
      </w:r>
      <w:r w:rsidR="00E866BF">
        <w:t>Generalized linear mixed models</w:t>
      </w:r>
      <w:r w:rsidRPr="00043589">
        <w:t xml:space="preserve"> </w:t>
      </w:r>
      <w:r w:rsidR="00E866BF">
        <w:t xml:space="preserve">(GLMMs) </w:t>
      </w:r>
      <w:r w:rsidRPr="00043589">
        <w:t xml:space="preserve">indicate </w:t>
      </w:r>
      <w:r w:rsidR="009A461D" w:rsidRPr="00043589">
        <w:t>that the number of nuts produced by individual hazelnuts varied based on interactions between solar access and TSLF.</w:t>
      </w:r>
      <w:r w:rsidRPr="00043589">
        <w:t xml:space="preserve"> </w:t>
      </w:r>
      <w:r w:rsidR="003D1E27" w:rsidRPr="00043589">
        <w:t xml:space="preserve">Based on the results of this study, there are multiple ways to manage hazelnut shrubs in order to optimize nut production for cultural food usage. Future studies need to focus on the correlation between fire regime factors </w:t>
      </w:r>
      <w:r w:rsidR="00477664">
        <w:t>and</w:t>
      </w:r>
      <w:r w:rsidR="00B12DD3">
        <w:t xml:space="preserve"> the</w:t>
      </w:r>
      <w:r w:rsidR="00477664">
        <w:t xml:space="preserve"> prevalence of</w:t>
      </w:r>
      <w:r w:rsidR="003D1E27" w:rsidRPr="00043589">
        <w:t xml:space="preserve"> other cultural resources in order to determine the most economically efficient way of applying fire to tribal and public lands.</w:t>
      </w:r>
    </w:p>
    <w:p w14:paraId="5861EBD0" w14:textId="77777777" w:rsidR="00C85D04" w:rsidRPr="00043589" w:rsidRDefault="00C85D04" w:rsidP="00C85D04">
      <w:pPr>
        <w:pStyle w:val="NormalWeb"/>
        <w:spacing w:before="0" w:beforeAutospacing="0" w:after="0" w:afterAutospacing="0" w:line="480" w:lineRule="auto"/>
        <w:jc w:val="center"/>
        <w:rPr>
          <w:b/>
          <w:bCs/>
          <w:color w:val="000000"/>
        </w:rPr>
      </w:pPr>
    </w:p>
    <w:p w14:paraId="7C994CF1" w14:textId="012445DC" w:rsidR="00C85D04" w:rsidRDefault="00C85D04" w:rsidP="003D1E27">
      <w:pPr>
        <w:pStyle w:val="NormalWeb"/>
        <w:spacing w:before="0" w:beforeAutospacing="0" w:after="0" w:afterAutospacing="0" w:line="480" w:lineRule="auto"/>
        <w:rPr>
          <w:b/>
          <w:bCs/>
          <w:color w:val="000000"/>
        </w:rPr>
      </w:pPr>
    </w:p>
    <w:p w14:paraId="6798BB59" w14:textId="69582889" w:rsidR="00140DE3" w:rsidRDefault="00140DE3" w:rsidP="003D1E27">
      <w:pPr>
        <w:pStyle w:val="NormalWeb"/>
        <w:spacing w:before="0" w:beforeAutospacing="0" w:after="0" w:afterAutospacing="0" w:line="480" w:lineRule="auto"/>
        <w:rPr>
          <w:b/>
          <w:bCs/>
          <w:color w:val="000000"/>
        </w:rPr>
      </w:pPr>
    </w:p>
    <w:p w14:paraId="761807F4" w14:textId="12F602F8" w:rsidR="00140DE3" w:rsidRDefault="00140DE3" w:rsidP="003D1E27">
      <w:pPr>
        <w:pStyle w:val="NormalWeb"/>
        <w:spacing w:before="0" w:beforeAutospacing="0" w:after="0" w:afterAutospacing="0" w:line="480" w:lineRule="auto"/>
        <w:rPr>
          <w:b/>
          <w:bCs/>
          <w:color w:val="000000"/>
        </w:rPr>
      </w:pPr>
    </w:p>
    <w:p w14:paraId="1B868FEC" w14:textId="77777777" w:rsidR="00140DE3" w:rsidRDefault="00140DE3" w:rsidP="00E866BF">
      <w:pPr>
        <w:pStyle w:val="NormalWeb"/>
        <w:spacing w:before="0" w:beforeAutospacing="0" w:after="0" w:afterAutospacing="0" w:line="480" w:lineRule="auto"/>
        <w:jc w:val="center"/>
        <w:rPr>
          <w:b/>
          <w:bCs/>
          <w:color w:val="000000"/>
        </w:rPr>
      </w:pPr>
      <w:r>
        <w:rPr>
          <w:b/>
          <w:bCs/>
          <w:color w:val="000000"/>
        </w:rPr>
        <w:lastRenderedPageBreak/>
        <w:t>Table of Contents</w:t>
      </w:r>
    </w:p>
    <w:p w14:paraId="144C0D94" w14:textId="77777777" w:rsidR="00140DE3" w:rsidRDefault="00140DE3" w:rsidP="00E866BF">
      <w:pPr>
        <w:pStyle w:val="NormalWeb"/>
        <w:spacing w:before="0" w:beforeAutospacing="0" w:after="0" w:afterAutospacing="0" w:line="480" w:lineRule="auto"/>
        <w:jc w:val="center"/>
        <w:rPr>
          <w:b/>
          <w:bCs/>
          <w:color w:val="000000"/>
        </w:rPr>
      </w:pPr>
      <w:r>
        <w:rPr>
          <w:b/>
          <w:bCs/>
          <w:color w:val="000000"/>
        </w:rPr>
        <w:t>Acknowledgements……………………………………………………………………………… i</w:t>
      </w:r>
    </w:p>
    <w:p w14:paraId="02DCAA28" w14:textId="10EEEB2A" w:rsidR="00140DE3" w:rsidRDefault="00140DE3" w:rsidP="00E866BF">
      <w:pPr>
        <w:pStyle w:val="NormalWeb"/>
        <w:spacing w:before="0" w:beforeAutospacing="0" w:after="0" w:afterAutospacing="0" w:line="480" w:lineRule="auto"/>
        <w:jc w:val="center"/>
        <w:rPr>
          <w:b/>
          <w:bCs/>
          <w:color w:val="000000"/>
        </w:rPr>
      </w:pPr>
      <w:r>
        <w:rPr>
          <w:b/>
          <w:bCs/>
          <w:color w:val="000000"/>
        </w:rPr>
        <w:t>Abstract…………………………………………………………………………………………..ii</w:t>
      </w:r>
    </w:p>
    <w:p w14:paraId="7D66A990" w14:textId="0A848BB2" w:rsidR="00140DE3" w:rsidRDefault="00140DE3" w:rsidP="00E866BF">
      <w:pPr>
        <w:pStyle w:val="NormalWeb"/>
        <w:spacing w:before="0" w:beforeAutospacing="0" w:after="0" w:afterAutospacing="0" w:line="480" w:lineRule="auto"/>
        <w:jc w:val="center"/>
        <w:rPr>
          <w:b/>
          <w:bCs/>
          <w:color w:val="000000"/>
        </w:rPr>
      </w:pPr>
      <w:r>
        <w:rPr>
          <w:b/>
          <w:bCs/>
          <w:color w:val="000000"/>
        </w:rPr>
        <w:t>Introduction………………………………………………………………………………………1</w:t>
      </w:r>
    </w:p>
    <w:p w14:paraId="19EFE609" w14:textId="2F6FA74E" w:rsidR="00140DE3" w:rsidRDefault="00140DE3" w:rsidP="00E866BF">
      <w:pPr>
        <w:pStyle w:val="NormalWeb"/>
        <w:spacing w:before="0" w:beforeAutospacing="0" w:after="0" w:afterAutospacing="0" w:line="480" w:lineRule="auto"/>
        <w:jc w:val="center"/>
        <w:rPr>
          <w:b/>
          <w:bCs/>
          <w:color w:val="000000"/>
        </w:rPr>
      </w:pPr>
      <w:r>
        <w:rPr>
          <w:b/>
          <w:bCs/>
          <w:color w:val="000000"/>
        </w:rPr>
        <w:t>Background………………………………………………………………………………</w:t>
      </w:r>
      <w:r w:rsidR="00477664">
        <w:rPr>
          <w:b/>
          <w:bCs/>
          <w:color w:val="000000"/>
        </w:rPr>
        <w:t>………2</w:t>
      </w:r>
    </w:p>
    <w:p w14:paraId="3512ED65" w14:textId="1214AE05" w:rsidR="00140DE3" w:rsidRDefault="00477664" w:rsidP="00E866BF">
      <w:pPr>
        <w:pStyle w:val="NormalWeb"/>
        <w:numPr>
          <w:ilvl w:val="0"/>
          <w:numId w:val="5"/>
        </w:numPr>
        <w:spacing w:before="0" w:beforeAutospacing="0" w:after="0" w:afterAutospacing="0" w:line="480" w:lineRule="auto"/>
        <w:jc w:val="center"/>
        <w:rPr>
          <w:color w:val="000000"/>
        </w:rPr>
      </w:pPr>
      <w:r w:rsidRPr="00043589">
        <w:rPr>
          <w:color w:val="000000"/>
        </w:rPr>
        <w:t>Social History of Fire and Fire Suppression in Northern California Coastal Forests</w:t>
      </w:r>
      <w:r>
        <w:rPr>
          <w:color w:val="000000"/>
        </w:rPr>
        <w:t>…2</w:t>
      </w:r>
    </w:p>
    <w:p w14:paraId="77BAA5BD" w14:textId="11A0E200" w:rsidR="00477664" w:rsidRPr="00043589" w:rsidRDefault="00477664" w:rsidP="00E866BF">
      <w:pPr>
        <w:pStyle w:val="NormalWeb"/>
        <w:numPr>
          <w:ilvl w:val="0"/>
          <w:numId w:val="5"/>
        </w:numPr>
        <w:spacing w:before="0" w:beforeAutospacing="0" w:after="0" w:afterAutospacing="0" w:line="480" w:lineRule="auto"/>
        <w:jc w:val="center"/>
        <w:rPr>
          <w:color w:val="000000"/>
        </w:rPr>
      </w:pPr>
      <w:r w:rsidRPr="00043589">
        <w:rPr>
          <w:color w:val="000000"/>
        </w:rPr>
        <w:t>Contemporary Fire Policy, Social Aversion to Fire, and Indigenous Resurgence</w:t>
      </w:r>
      <w:r>
        <w:rPr>
          <w:color w:val="000000"/>
        </w:rPr>
        <w:t>……4</w:t>
      </w:r>
    </w:p>
    <w:p w14:paraId="46490D6F" w14:textId="373A798D" w:rsidR="00477664" w:rsidRPr="00043589" w:rsidRDefault="00477664" w:rsidP="00E866BF">
      <w:pPr>
        <w:pStyle w:val="NormalWeb"/>
        <w:numPr>
          <w:ilvl w:val="0"/>
          <w:numId w:val="5"/>
        </w:numPr>
        <w:spacing w:before="0" w:beforeAutospacing="0" w:after="0" w:afterAutospacing="0" w:line="480" w:lineRule="auto"/>
        <w:jc w:val="center"/>
        <w:rPr>
          <w:color w:val="000000"/>
        </w:rPr>
      </w:pPr>
      <w:r w:rsidRPr="00043589">
        <w:rPr>
          <w:color w:val="000000"/>
        </w:rPr>
        <w:t>Tribal Governance as a Pathway Towards Improved Fire Utilization in NCCF</w:t>
      </w:r>
      <w:r>
        <w:rPr>
          <w:color w:val="000000"/>
        </w:rPr>
        <w:t>…...…6</w:t>
      </w:r>
    </w:p>
    <w:p w14:paraId="585FA15A" w14:textId="32B4DC42" w:rsidR="00477664" w:rsidRDefault="00477664" w:rsidP="00E866BF">
      <w:pPr>
        <w:pStyle w:val="NormalWeb"/>
        <w:numPr>
          <w:ilvl w:val="0"/>
          <w:numId w:val="5"/>
        </w:numPr>
        <w:spacing w:before="0" w:beforeAutospacing="0" w:after="0" w:afterAutospacing="0" w:line="480" w:lineRule="auto"/>
        <w:jc w:val="center"/>
        <w:rPr>
          <w:color w:val="000000"/>
        </w:rPr>
      </w:pPr>
      <w:r w:rsidRPr="00043589">
        <w:rPr>
          <w:color w:val="000000"/>
        </w:rPr>
        <w:t>The California Beaked Hazelnut</w:t>
      </w:r>
      <w:r>
        <w:rPr>
          <w:color w:val="000000"/>
        </w:rPr>
        <w:t>………………………………………………………8</w:t>
      </w:r>
    </w:p>
    <w:p w14:paraId="5F72A252" w14:textId="19598716" w:rsidR="00477664" w:rsidRDefault="00477664" w:rsidP="00E866BF">
      <w:pPr>
        <w:pStyle w:val="NormalWeb"/>
        <w:spacing w:before="0" w:beforeAutospacing="0" w:after="0" w:afterAutospacing="0" w:line="480" w:lineRule="auto"/>
        <w:jc w:val="center"/>
        <w:rPr>
          <w:b/>
          <w:bCs/>
          <w:color w:val="000000"/>
        </w:rPr>
      </w:pPr>
      <w:r>
        <w:rPr>
          <w:b/>
          <w:bCs/>
          <w:color w:val="000000"/>
        </w:rPr>
        <w:t>Methods………………………………………………………………………………………….</w:t>
      </w:r>
      <w:r w:rsidR="00E866BF">
        <w:rPr>
          <w:b/>
          <w:bCs/>
          <w:color w:val="000000"/>
        </w:rPr>
        <w:t>1</w:t>
      </w:r>
      <w:r w:rsidR="00011415">
        <w:rPr>
          <w:b/>
          <w:bCs/>
          <w:color w:val="000000"/>
        </w:rPr>
        <w:t>1</w:t>
      </w:r>
    </w:p>
    <w:p w14:paraId="4E38D0A4" w14:textId="5EA2BE67" w:rsidR="00E866BF" w:rsidRDefault="00011415" w:rsidP="00E866BF">
      <w:pPr>
        <w:pStyle w:val="NormalWeb"/>
        <w:spacing w:before="0" w:beforeAutospacing="0" w:after="0" w:afterAutospacing="0" w:line="480" w:lineRule="auto"/>
        <w:jc w:val="center"/>
        <w:rPr>
          <w:b/>
          <w:bCs/>
          <w:color w:val="000000"/>
        </w:rPr>
      </w:pPr>
      <w:r>
        <w:rPr>
          <w:b/>
          <w:bCs/>
          <w:color w:val="000000"/>
        </w:rPr>
        <w:t>Res</w:t>
      </w:r>
      <w:r w:rsidR="00A86520">
        <w:rPr>
          <w:b/>
          <w:bCs/>
          <w:color w:val="000000"/>
        </w:rPr>
        <w:t>ults..</w:t>
      </w:r>
      <w:r w:rsidR="00E866BF">
        <w:rPr>
          <w:b/>
          <w:bCs/>
          <w:color w:val="000000"/>
        </w:rPr>
        <w:t>………………………………………………………………………………………….14</w:t>
      </w:r>
    </w:p>
    <w:p w14:paraId="558D6DDD" w14:textId="5F73CF4D" w:rsidR="00E866BF" w:rsidRDefault="00E866BF" w:rsidP="00E866BF">
      <w:pPr>
        <w:pStyle w:val="NormalWeb"/>
        <w:spacing w:before="0" w:beforeAutospacing="0" w:after="0" w:afterAutospacing="0" w:line="480" w:lineRule="auto"/>
        <w:jc w:val="center"/>
        <w:rPr>
          <w:b/>
          <w:bCs/>
          <w:color w:val="000000"/>
        </w:rPr>
      </w:pPr>
      <w:r>
        <w:rPr>
          <w:b/>
          <w:bCs/>
          <w:color w:val="000000"/>
        </w:rPr>
        <w:t>Discussion……………………………………………………………………………………….1</w:t>
      </w:r>
      <w:r w:rsidR="00A86520">
        <w:rPr>
          <w:b/>
          <w:bCs/>
          <w:color w:val="000000"/>
        </w:rPr>
        <w:t>6</w:t>
      </w:r>
    </w:p>
    <w:p w14:paraId="4A8435F6" w14:textId="65C406D7" w:rsidR="00E866BF" w:rsidRDefault="00E866BF" w:rsidP="00E866BF">
      <w:pPr>
        <w:pStyle w:val="NormalWeb"/>
        <w:spacing w:before="0" w:beforeAutospacing="0" w:after="0" w:afterAutospacing="0" w:line="480" w:lineRule="auto"/>
        <w:jc w:val="center"/>
        <w:rPr>
          <w:b/>
          <w:bCs/>
          <w:color w:val="000000"/>
        </w:rPr>
      </w:pPr>
      <w:r>
        <w:rPr>
          <w:b/>
          <w:bCs/>
          <w:color w:val="000000"/>
        </w:rPr>
        <w:t>Figures…………………………………………………………………………………………..</w:t>
      </w:r>
      <w:r w:rsidR="00A86520">
        <w:rPr>
          <w:b/>
          <w:bCs/>
          <w:color w:val="000000"/>
        </w:rPr>
        <w:t>19</w:t>
      </w:r>
    </w:p>
    <w:p w14:paraId="7454859B" w14:textId="2C4763E9" w:rsidR="00011415" w:rsidRDefault="00E866BF" w:rsidP="00E866BF">
      <w:pPr>
        <w:pStyle w:val="NormalWeb"/>
        <w:spacing w:before="0" w:beforeAutospacing="0" w:after="0" w:afterAutospacing="0" w:line="480" w:lineRule="auto"/>
        <w:jc w:val="center"/>
        <w:rPr>
          <w:b/>
          <w:bCs/>
          <w:color w:val="000000"/>
        </w:rPr>
        <w:sectPr w:rsidR="00011415" w:rsidSect="00011415">
          <w:pgSz w:w="12240" w:h="15840"/>
          <w:pgMar w:top="1440" w:right="1440" w:bottom="1440" w:left="1440" w:header="720" w:footer="720" w:gutter="0"/>
          <w:pgNumType w:fmt="lowerRoman" w:start="1"/>
          <w:cols w:space="720"/>
          <w:docGrid w:linePitch="360"/>
        </w:sectPr>
      </w:pPr>
      <w:r>
        <w:rPr>
          <w:b/>
          <w:bCs/>
          <w:color w:val="000000"/>
        </w:rPr>
        <w:t>Bibliography…………………………………………………………………………………….2</w:t>
      </w:r>
      <w:r w:rsidR="00A86520">
        <w:rPr>
          <w:b/>
          <w:bCs/>
          <w:color w:val="000000"/>
        </w:rPr>
        <w:t>3</w:t>
      </w:r>
    </w:p>
    <w:p w14:paraId="08C2B356" w14:textId="37E71301" w:rsidR="00385474" w:rsidRPr="00043589" w:rsidRDefault="00385474" w:rsidP="00011415">
      <w:pPr>
        <w:pStyle w:val="NormalWeb"/>
        <w:spacing w:before="0" w:beforeAutospacing="0" w:after="0" w:afterAutospacing="0" w:line="480" w:lineRule="auto"/>
        <w:jc w:val="center"/>
        <w:rPr>
          <w:b/>
          <w:bCs/>
          <w:color w:val="000000"/>
        </w:rPr>
      </w:pPr>
      <w:r w:rsidRPr="00043589">
        <w:rPr>
          <w:b/>
          <w:bCs/>
          <w:color w:val="000000"/>
        </w:rPr>
        <w:lastRenderedPageBreak/>
        <w:t>Introduction</w:t>
      </w:r>
    </w:p>
    <w:p w14:paraId="7C410C8F" w14:textId="2CA427EF" w:rsidR="003D1E27" w:rsidRDefault="00D83EFD" w:rsidP="00477664">
      <w:pPr>
        <w:spacing w:line="480" w:lineRule="auto"/>
        <w:ind w:firstLine="720"/>
        <w:rPr>
          <w:color w:val="000000"/>
        </w:rPr>
      </w:pPr>
      <w:r w:rsidRPr="00043589">
        <w:rPr>
          <w:color w:val="000000"/>
        </w:rPr>
        <w:t>Along the Klamath River in the northernmost part of California</w:t>
      </w:r>
      <w:r w:rsidR="00CD3219" w:rsidRPr="00043589">
        <w:rPr>
          <w:color w:val="000000"/>
        </w:rPr>
        <w:t xml:space="preserve">, </w:t>
      </w:r>
      <w:r w:rsidRPr="00043589">
        <w:rPr>
          <w:color w:val="000000"/>
        </w:rPr>
        <w:t>the Yurok, Karuk, and Hupa</w:t>
      </w:r>
      <w:r w:rsidR="00CD3219" w:rsidRPr="00043589">
        <w:rPr>
          <w:color w:val="000000"/>
        </w:rPr>
        <w:t xml:space="preserve"> tribal nations</w:t>
      </w:r>
      <w:r w:rsidRPr="00043589">
        <w:rPr>
          <w:color w:val="000000"/>
        </w:rPr>
        <w:t xml:space="preserve"> are attempting to restore </w:t>
      </w:r>
      <w:r w:rsidR="004E060A" w:rsidRPr="00043589">
        <w:rPr>
          <w:color w:val="000000"/>
        </w:rPr>
        <w:t>cultural</w:t>
      </w:r>
      <w:r w:rsidRPr="00043589">
        <w:rPr>
          <w:color w:val="000000"/>
        </w:rPr>
        <w:t xml:space="preserve"> burning practices to their ancestral territories</w:t>
      </w:r>
      <w:r w:rsidR="004E060A" w:rsidRPr="00043589">
        <w:rPr>
          <w:color w:val="000000"/>
        </w:rPr>
        <w:t xml:space="preserve"> (Karuk Tribe</w:t>
      </w:r>
      <w:r w:rsidR="00B56CC4" w:rsidRPr="00043589">
        <w:rPr>
          <w:color w:val="000000"/>
        </w:rPr>
        <w:t>,</w:t>
      </w:r>
      <w:r w:rsidR="004E060A" w:rsidRPr="00043589">
        <w:rPr>
          <w:color w:val="000000"/>
        </w:rPr>
        <w:t xml:space="preserve"> 2010, Yurok Tribe</w:t>
      </w:r>
      <w:r w:rsidR="00B56CC4" w:rsidRPr="00043589">
        <w:rPr>
          <w:color w:val="000000"/>
        </w:rPr>
        <w:t>,</w:t>
      </w:r>
      <w:r w:rsidR="004E060A" w:rsidRPr="00043589">
        <w:rPr>
          <w:color w:val="000000"/>
        </w:rPr>
        <w:t xml:space="preserve"> 2012, Hoopa Valley Indian Reservation</w:t>
      </w:r>
      <w:r w:rsidR="00B56CC4" w:rsidRPr="00043589">
        <w:rPr>
          <w:color w:val="000000"/>
        </w:rPr>
        <w:t>,</w:t>
      </w:r>
      <w:r w:rsidR="004E060A" w:rsidRPr="00043589">
        <w:rPr>
          <w:color w:val="000000"/>
        </w:rPr>
        <w:t xml:space="preserve"> 2015)</w:t>
      </w:r>
      <w:r w:rsidRPr="00043589">
        <w:rPr>
          <w:color w:val="000000"/>
        </w:rPr>
        <w:t xml:space="preserve">. These practices are in line with state and local </w:t>
      </w:r>
      <w:r w:rsidR="00530CB7" w:rsidRPr="00043589">
        <w:rPr>
          <w:color w:val="000000"/>
        </w:rPr>
        <w:t xml:space="preserve">non-indigenous governmental </w:t>
      </w:r>
      <w:r w:rsidRPr="00043589">
        <w:rPr>
          <w:color w:val="000000"/>
        </w:rPr>
        <w:t xml:space="preserve">goals </w:t>
      </w:r>
      <w:r w:rsidR="00530CB7" w:rsidRPr="00043589">
        <w:rPr>
          <w:color w:val="000000"/>
        </w:rPr>
        <w:t xml:space="preserve">of </w:t>
      </w:r>
      <w:r w:rsidRPr="00043589">
        <w:rPr>
          <w:color w:val="000000"/>
        </w:rPr>
        <w:t>decreas</w:t>
      </w:r>
      <w:r w:rsidR="00530CB7" w:rsidRPr="00043589">
        <w:rPr>
          <w:color w:val="000000"/>
        </w:rPr>
        <w:t>ing</w:t>
      </w:r>
      <w:r w:rsidRPr="00043589">
        <w:rPr>
          <w:color w:val="000000"/>
        </w:rPr>
        <w:t xml:space="preserve"> wildfire hazards</w:t>
      </w:r>
      <w:r w:rsidR="00530CB7" w:rsidRPr="00043589">
        <w:rPr>
          <w:color w:val="000000"/>
        </w:rPr>
        <w:t>,</w:t>
      </w:r>
      <w:r w:rsidR="007D0A79" w:rsidRPr="00043589">
        <w:rPr>
          <w:color w:val="000000"/>
        </w:rPr>
        <w:t xml:space="preserve"> as </w:t>
      </w:r>
      <w:r w:rsidR="00B12DD3">
        <w:rPr>
          <w:color w:val="000000"/>
        </w:rPr>
        <w:t>prescribed</w:t>
      </w:r>
      <w:r w:rsidR="007D0A79" w:rsidRPr="00043589">
        <w:rPr>
          <w:color w:val="000000"/>
        </w:rPr>
        <w:t xml:space="preserve"> burns decrease </w:t>
      </w:r>
      <w:r w:rsidR="00530CB7" w:rsidRPr="00043589">
        <w:rPr>
          <w:color w:val="000000"/>
        </w:rPr>
        <w:t xml:space="preserve">wildfire </w:t>
      </w:r>
      <w:r w:rsidR="000F0FC6" w:rsidRPr="00043589">
        <w:rPr>
          <w:color w:val="000000"/>
        </w:rPr>
        <w:t>fuel loads and reduce the chance of</w:t>
      </w:r>
      <w:r w:rsidR="00530CB7" w:rsidRPr="00043589">
        <w:rPr>
          <w:color w:val="000000"/>
        </w:rPr>
        <w:t xml:space="preserve"> </w:t>
      </w:r>
      <w:r w:rsidR="007D0A79" w:rsidRPr="00043589">
        <w:rPr>
          <w:color w:val="000000"/>
        </w:rPr>
        <w:t>catastrophic wildfire</w:t>
      </w:r>
      <w:r w:rsidR="00530CB7" w:rsidRPr="00043589">
        <w:rPr>
          <w:color w:val="000000"/>
        </w:rPr>
        <w:t>s</w:t>
      </w:r>
      <w:r w:rsidR="00F61BDA" w:rsidRPr="00043589">
        <w:rPr>
          <w:color w:val="000000"/>
        </w:rPr>
        <w:t xml:space="preserve"> (</w:t>
      </w:r>
      <w:r w:rsidR="00064D68" w:rsidRPr="00043589">
        <w:rPr>
          <w:color w:val="000000"/>
        </w:rPr>
        <w:t>Kalies &amp; Kent, 2016)</w:t>
      </w:r>
      <w:r w:rsidRPr="00043589">
        <w:rPr>
          <w:color w:val="000000"/>
        </w:rPr>
        <w:t xml:space="preserve">. </w:t>
      </w:r>
      <w:r w:rsidR="007D0A79" w:rsidRPr="00043589">
        <w:rPr>
          <w:color w:val="000000"/>
        </w:rPr>
        <w:t>However, tribes view the burns not only as a practice of hazard reduction, but also as a way to increase the abundance of natural resources important to their culture</w:t>
      </w:r>
      <w:r w:rsidR="00064D68" w:rsidRPr="00043589">
        <w:rPr>
          <w:color w:val="000000"/>
        </w:rPr>
        <w:t xml:space="preserve"> (Lake et al.</w:t>
      </w:r>
      <w:r w:rsidR="00B56CC4" w:rsidRPr="00043589">
        <w:rPr>
          <w:color w:val="000000"/>
        </w:rPr>
        <w:t>,</w:t>
      </w:r>
      <w:r w:rsidR="00064D68" w:rsidRPr="00043589">
        <w:rPr>
          <w:color w:val="000000"/>
        </w:rPr>
        <w:t xml:space="preserve"> 2017)</w:t>
      </w:r>
      <w:r w:rsidR="007D0A79" w:rsidRPr="00043589">
        <w:rPr>
          <w:color w:val="000000"/>
        </w:rPr>
        <w:t xml:space="preserve">. One such cultural resource is California </w:t>
      </w:r>
      <w:r w:rsidR="00856120" w:rsidRPr="00043589">
        <w:rPr>
          <w:color w:val="000000"/>
        </w:rPr>
        <w:t>h</w:t>
      </w:r>
      <w:r w:rsidR="007D0A79" w:rsidRPr="00043589">
        <w:rPr>
          <w:color w:val="000000"/>
        </w:rPr>
        <w:t xml:space="preserve">azelnut, </w:t>
      </w:r>
      <w:r w:rsidR="00856120" w:rsidRPr="00043589">
        <w:rPr>
          <w:color w:val="000000"/>
        </w:rPr>
        <w:t>c</w:t>
      </w:r>
      <w:r w:rsidR="007D0A79" w:rsidRPr="00043589">
        <w:rPr>
          <w:color w:val="000000"/>
        </w:rPr>
        <w:t xml:space="preserve">orylus </w:t>
      </w:r>
      <w:r w:rsidR="00856120" w:rsidRPr="00043589">
        <w:rPr>
          <w:color w:val="000000"/>
        </w:rPr>
        <w:t>c</w:t>
      </w:r>
      <w:r w:rsidR="007D0A79" w:rsidRPr="00043589">
        <w:rPr>
          <w:color w:val="000000"/>
        </w:rPr>
        <w:t xml:space="preserve">ornuta var. </w:t>
      </w:r>
      <w:r w:rsidR="00856120" w:rsidRPr="00043589">
        <w:rPr>
          <w:color w:val="000000"/>
        </w:rPr>
        <w:t>c</w:t>
      </w:r>
      <w:r w:rsidR="007D0A79" w:rsidRPr="00043589">
        <w:rPr>
          <w:color w:val="000000"/>
        </w:rPr>
        <w:t>aliforn</w:t>
      </w:r>
      <w:r w:rsidR="00E04E49" w:rsidRPr="00043589">
        <w:rPr>
          <w:color w:val="000000"/>
        </w:rPr>
        <w:t xml:space="preserve">ica, an understory shrub that </w:t>
      </w:r>
      <w:r w:rsidR="00530CB7" w:rsidRPr="00043589">
        <w:rPr>
          <w:color w:val="000000"/>
        </w:rPr>
        <w:t xml:space="preserve">contemporarily </w:t>
      </w:r>
      <w:r w:rsidR="00E04E49" w:rsidRPr="00043589">
        <w:rPr>
          <w:color w:val="000000"/>
        </w:rPr>
        <w:t>produces</w:t>
      </w:r>
      <w:r w:rsidR="00CD3219" w:rsidRPr="00043589">
        <w:rPr>
          <w:color w:val="000000"/>
        </w:rPr>
        <w:t xml:space="preserve"> </w:t>
      </w:r>
      <w:r w:rsidR="00E04E49" w:rsidRPr="00043589">
        <w:rPr>
          <w:color w:val="000000"/>
        </w:rPr>
        <w:t xml:space="preserve">important basket weaving </w:t>
      </w:r>
      <w:r w:rsidR="00530CB7" w:rsidRPr="00043589">
        <w:rPr>
          <w:color w:val="000000"/>
        </w:rPr>
        <w:t>material from its stems</w:t>
      </w:r>
      <w:r w:rsidR="00064D68" w:rsidRPr="00043589">
        <w:rPr>
          <w:color w:val="000000"/>
        </w:rPr>
        <w:t xml:space="preserve"> (</w:t>
      </w:r>
      <w:r w:rsidR="00B56CC4" w:rsidRPr="00043589">
        <w:rPr>
          <w:color w:val="000000"/>
        </w:rPr>
        <w:t>Zobel, 2002)</w:t>
      </w:r>
      <w:r w:rsidR="00E04E49" w:rsidRPr="00043589">
        <w:rPr>
          <w:color w:val="000000"/>
        </w:rPr>
        <w:t xml:space="preserve">. </w:t>
      </w:r>
      <w:r w:rsidR="00530CB7" w:rsidRPr="00043589">
        <w:rPr>
          <w:color w:val="000000"/>
        </w:rPr>
        <w:t>Another historical use for California hazelnut was as a food resource</w:t>
      </w:r>
      <w:r w:rsidR="00B56CC4" w:rsidRPr="00043589">
        <w:rPr>
          <w:color w:val="000000"/>
        </w:rPr>
        <w:t xml:space="preserve"> (Boyd, 19</w:t>
      </w:r>
      <w:r w:rsidR="00645AD1" w:rsidRPr="00043589">
        <w:rPr>
          <w:color w:val="000000"/>
        </w:rPr>
        <w:t>9</w:t>
      </w:r>
      <w:r w:rsidR="00B56CC4" w:rsidRPr="00043589">
        <w:rPr>
          <w:color w:val="000000"/>
        </w:rPr>
        <w:t>9)</w:t>
      </w:r>
      <w:r w:rsidR="00530CB7" w:rsidRPr="00043589">
        <w:rPr>
          <w:color w:val="000000"/>
        </w:rPr>
        <w:t>. Due to the nutrition the nuts can provide and the importance of cultural foods to indigenous communities</w:t>
      </w:r>
      <w:r w:rsidR="00645AD1" w:rsidRPr="00043589">
        <w:rPr>
          <w:color w:val="000000"/>
        </w:rPr>
        <w:t xml:space="preserve"> (</w:t>
      </w:r>
      <w:r w:rsidR="00645AD1" w:rsidRPr="00043589">
        <w:t>Kuhnlein &amp; Receveur, 1996)</w:t>
      </w:r>
      <w:r w:rsidR="00530CB7" w:rsidRPr="00043589">
        <w:rPr>
          <w:color w:val="000000"/>
        </w:rPr>
        <w:t>, u</w:t>
      </w:r>
      <w:r w:rsidR="00E04E49" w:rsidRPr="00043589">
        <w:rPr>
          <w:color w:val="000000"/>
        </w:rPr>
        <w:t xml:space="preserve">nderstanding the relationship of California </w:t>
      </w:r>
      <w:r w:rsidR="00530CB7" w:rsidRPr="00043589">
        <w:rPr>
          <w:color w:val="000000"/>
        </w:rPr>
        <w:t>h</w:t>
      </w:r>
      <w:r w:rsidR="00E04E49" w:rsidRPr="00043589">
        <w:rPr>
          <w:color w:val="000000"/>
        </w:rPr>
        <w:t xml:space="preserve">azelnut </w:t>
      </w:r>
      <w:r w:rsidR="00530CB7" w:rsidRPr="00043589">
        <w:rPr>
          <w:color w:val="000000"/>
        </w:rPr>
        <w:t xml:space="preserve">nut production </w:t>
      </w:r>
      <w:r w:rsidR="00E04E49" w:rsidRPr="00043589">
        <w:rPr>
          <w:color w:val="000000"/>
        </w:rPr>
        <w:t>and</w:t>
      </w:r>
      <w:r w:rsidR="00530CB7" w:rsidRPr="00043589">
        <w:rPr>
          <w:color w:val="000000"/>
        </w:rPr>
        <w:t xml:space="preserve"> wildland</w:t>
      </w:r>
      <w:r w:rsidR="00E04E49" w:rsidRPr="00043589">
        <w:rPr>
          <w:color w:val="000000"/>
        </w:rPr>
        <w:t xml:space="preserve"> fire can be useful to land managers interested in utilizing fire not only to decrease hazards</w:t>
      </w:r>
      <w:r w:rsidR="00530CB7" w:rsidRPr="00043589">
        <w:rPr>
          <w:color w:val="000000"/>
        </w:rPr>
        <w:t>, but also to</w:t>
      </w:r>
      <w:r w:rsidR="00E04E49" w:rsidRPr="00043589">
        <w:rPr>
          <w:color w:val="000000"/>
        </w:rPr>
        <w:t xml:space="preserve"> improve cultural resource abundance.</w:t>
      </w:r>
    </w:p>
    <w:p w14:paraId="021AC4B9" w14:textId="57F99944" w:rsidR="00E866BF" w:rsidRDefault="00E866BF" w:rsidP="00477664">
      <w:pPr>
        <w:spacing w:line="480" w:lineRule="auto"/>
        <w:ind w:firstLine="720"/>
        <w:rPr>
          <w:color w:val="000000"/>
        </w:rPr>
      </w:pPr>
    </w:p>
    <w:p w14:paraId="1D79980E" w14:textId="5CCB0D1A" w:rsidR="00E866BF" w:rsidRDefault="00E866BF" w:rsidP="00477664">
      <w:pPr>
        <w:spacing w:line="480" w:lineRule="auto"/>
        <w:ind w:firstLine="720"/>
        <w:rPr>
          <w:color w:val="000000"/>
        </w:rPr>
      </w:pPr>
    </w:p>
    <w:p w14:paraId="74C28B3D" w14:textId="66649978" w:rsidR="00E866BF" w:rsidRDefault="00E866BF" w:rsidP="00477664">
      <w:pPr>
        <w:spacing w:line="480" w:lineRule="auto"/>
        <w:ind w:firstLine="720"/>
        <w:rPr>
          <w:color w:val="000000"/>
        </w:rPr>
      </w:pPr>
    </w:p>
    <w:p w14:paraId="3C60899A" w14:textId="157256C9" w:rsidR="00E866BF" w:rsidRDefault="00E866BF" w:rsidP="00477664">
      <w:pPr>
        <w:spacing w:line="480" w:lineRule="auto"/>
        <w:ind w:firstLine="720"/>
        <w:rPr>
          <w:color w:val="000000"/>
        </w:rPr>
      </w:pPr>
    </w:p>
    <w:p w14:paraId="5E781C55" w14:textId="77777777" w:rsidR="00E866BF" w:rsidRDefault="00E866BF" w:rsidP="00477664">
      <w:pPr>
        <w:spacing w:line="480" w:lineRule="auto"/>
        <w:ind w:firstLine="720"/>
        <w:rPr>
          <w:color w:val="000000"/>
        </w:rPr>
      </w:pPr>
    </w:p>
    <w:p w14:paraId="3259238B" w14:textId="20B55C1F" w:rsidR="00E866BF" w:rsidRDefault="00E866BF" w:rsidP="00477664">
      <w:pPr>
        <w:spacing w:line="480" w:lineRule="auto"/>
        <w:ind w:firstLine="720"/>
        <w:rPr>
          <w:color w:val="000000"/>
        </w:rPr>
      </w:pPr>
    </w:p>
    <w:p w14:paraId="291ADD57" w14:textId="77777777" w:rsidR="00E866BF" w:rsidRPr="00477664" w:rsidRDefault="00E866BF" w:rsidP="00E866BF">
      <w:pPr>
        <w:spacing w:line="480" w:lineRule="auto"/>
      </w:pPr>
    </w:p>
    <w:p w14:paraId="24C8C94D" w14:textId="58DEF3EF" w:rsidR="00E04E49" w:rsidRPr="00043589" w:rsidRDefault="00DD79B8" w:rsidP="00410B41">
      <w:pPr>
        <w:pStyle w:val="NormalWeb"/>
        <w:spacing w:before="0" w:beforeAutospacing="0" w:after="0" w:afterAutospacing="0" w:line="480" w:lineRule="auto"/>
        <w:jc w:val="center"/>
        <w:rPr>
          <w:b/>
          <w:bCs/>
          <w:color w:val="000000"/>
        </w:rPr>
      </w:pPr>
      <w:r w:rsidRPr="00043589">
        <w:rPr>
          <w:b/>
          <w:bCs/>
          <w:color w:val="000000"/>
        </w:rPr>
        <w:lastRenderedPageBreak/>
        <w:t>Background</w:t>
      </w:r>
    </w:p>
    <w:p w14:paraId="446F8561" w14:textId="612A96A8" w:rsidR="00930599" w:rsidRPr="00043589" w:rsidRDefault="00930599" w:rsidP="009D7EF0">
      <w:pPr>
        <w:pStyle w:val="NormalWeb"/>
        <w:numPr>
          <w:ilvl w:val="0"/>
          <w:numId w:val="3"/>
        </w:numPr>
        <w:spacing w:before="0" w:beforeAutospacing="0" w:after="0" w:afterAutospacing="0" w:line="480" w:lineRule="auto"/>
        <w:rPr>
          <w:color w:val="000000"/>
        </w:rPr>
      </w:pPr>
      <w:r w:rsidRPr="00043589">
        <w:rPr>
          <w:color w:val="000000"/>
        </w:rPr>
        <w:t>Social History of Fire and Fire Suppression</w:t>
      </w:r>
      <w:r w:rsidR="001314BB" w:rsidRPr="00043589">
        <w:rPr>
          <w:color w:val="000000"/>
        </w:rPr>
        <w:t xml:space="preserve"> in Northern California Coastal Forests</w:t>
      </w:r>
    </w:p>
    <w:p w14:paraId="75F804E7" w14:textId="5D3E3F1F" w:rsidR="00633D11" w:rsidRPr="00043589" w:rsidRDefault="00633D11" w:rsidP="009D7EF0">
      <w:pPr>
        <w:pStyle w:val="NormalWeb"/>
        <w:spacing w:before="0" w:beforeAutospacing="0" w:after="0" w:afterAutospacing="0" w:line="480" w:lineRule="auto"/>
        <w:ind w:firstLine="720"/>
        <w:rPr>
          <w:color w:val="000000"/>
        </w:rPr>
      </w:pPr>
      <w:r w:rsidRPr="00043589">
        <w:rPr>
          <w:color w:val="000000"/>
        </w:rPr>
        <w:t>Intentional and complex human utilization of fire has been present in the America’s for thousands of years</w:t>
      </w:r>
      <w:r w:rsidR="00E03A66" w:rsidRPr="00043589">
        <w:rPr>
          <w:color w:val="000000"/>
        </w:rPr>
        <w:t xml:space="preserve"> </w:t>
      </w:r>
      <w:r w:rsidR="00E03A66" w:rsidRPr="00043589">
        <w:rPr>
          <w:color w:val="000000"/>
        </w:rPr>
        <w:fldChar w:fldCharType="begin" w:fldLock="1"/>
      </w:r>
      <w:r w:rsidR="003A7EDF" w:rsidRPr="00043589">
        <w:rPr>
          <w:color w:val="000000"/>
        </w:rPr>
        <w:instrText>ADDIN CSL_CITATION {"citationItems":[{"id":"ITEM-1","itemData":{"DOI":"10.1093/jof/99.11.36","ISSN":"0022-1201","abstract":"This paper highlights findings in the literature on aboriginal fire from the human- and land-centred disciplines, and suggests that the traditional knowledge of indigenous peoples be incorporated into plans for reintroducing fire to USA forests. The extent and goals of indigenous burning, and the philosophy and evidence of fire suppression are discussed. Seasonality, frequency, extent, site and outcome revealed the difference of the philosophy and practice of native American burning from a non-anthropogenic fire regime. Traditional knowledge represents the outcome of long experimentation with application of fire by indigenous people, which can inform contemporary policy discussions.","author":[{"dropping-particle":"","family":"Kimmerer","given":"R. W.","non-dropping-particle":"","parse-names":false,"suffix":""},{"dropping-particle":"","family":"Lake","given":"F. K.","non-dropping-particle":"","parse-names":false,"suffix":""}],"container-title":"Journal of Forestry","id":"ITEM-1","issue":"11","issued":{"date-parts":[["2001"]]},"page":"36-41","title":"Maintaining the Mosaic: The role of indigenous burning in land management","type":"article-journal","volume":"99"},"uris":["http://www.mendeley.com/documents/?uuid=c9f874cc-3615-4e7b-80cc-3ba7b1bd2279"]}],"mendeley":{"formattedCitation":"(Kimmerer and Lake)","manualFormatting":"(Kimmerer and Lake, 2001)","plainTextFormattedCitation":"(Kimmerer and Lake)","previouslyFormattedCitation":"(Kimmerer and Lake)"},"properties":{"noteIndex":0},"schema":"https://github.com/citation-style-language/schema/raw/master/csl-citation.json"}</w:instrText>
      </w:r>
      <w:r w:rsidR="00E03A66" w:rsidRPr="00043589">
        <w:rPr>
          <w:color w:val="000000"/>
        </w:rPr>
        <w:fldChar w:fldCharType="separate"/>
      </w:r>
      <w:r w:rsidR="00493DFE" w:rsidRPr="00043589">
        <w:rPr>
          <w:noProof/>
          <w:color w:val="000000"/>
        </w:rPr>
        <w:t>(Kimmerer and Lake</w:t>
      </w:r>
      <w:r w:rsidR="003A7EDF" w:rsidRPr="00043589">
        <w:rPr>
          <w:noProof/>
          <w:color w:val="000000"/>
        </w:rPr>
        <w:t>, 2001</w:t>
      </w:r>
      <w:r w:rsidR="00493DFE" w:rsidRPr="00043589">
        <w:rPr>
          <w:noProof/>
          <w:color w:val="000000"/>
        </w:rPr>
        <w:t>)</w:t>
      </w:r>
      <w:r w:rsidR="00E03A66" w:rsidRPr="00043589">
        <w:rPr>
          <w:color w:val="000000"/>
        </w:rPr>
        <w:fldChar w:fldCharType="end"/>
      </w:r>
      <w:r w:rsidR="00F34956" w:rsidRPr="00043589">
        <w:rPr>
          <w:color w:val="000000"/>
        </w:rPr>
        <w:t xml:space="preserve">. In </w:t>
      </w:r>
      <w:r w:rsidR="00B12DD3">
        <w:rPr>
          <w:color w:val="000000"/>
        </w:rPr>
        <w:t>n</w:t>
      </w:r>
      <w:r w:rsidR="00F34956" w:rsidRPr="00043589">
        <w:rPr>
          <w:color w:val="000000"/>
        </w:rPr>
        <w:t xml:space="preserve">orthern California </w:t>
      </w:r>
      <w:r w:rsidR="00B12DD3">
        <w:rPr>
          <w:color w:val="000000"/>
        </w:rPr>
        <w:t>c</w:t>
      </w:r>
      <w:r w:rsidR="00F34956" w:rsidRPr="00043589">
        <w:rPr>
          <w:color w:val="000000"/>
        </w:rPr>
        <w:t xml:space="preserve">oastal </w:t>
      </w:r>
      <w:r w:rsidR="00B12DD3">
        <w:rPr>
          <w:color w:val="000000"/>
        </w:rPr>
        <w:t>f</w:t>
      </w:r>
      <w:r w:rsidR="00F34956" w:rsidRPr="00043589">
        <w:rPr>
          <w:color w:val="000000"/>
        </w:rPr>
        <w:t>orests, American Indian communities along the Klamath River utilized fire in a way that created a mosaic of different vegetation types across landscapes (Lightfoot &amp; Parrish, 2009)</w:t>
      </w:r>
      <w:r w:rsidR="00E03A66" w:rsidRPr="00043589">
        <w:rPr>
          <w:color w:val="000000"/>
        </w:rPr>
        <w:t xml:space="preserve"> </w:t>
      </w:r>
      <w:r w:rsidR="00E03A66" w:rsidRPr="00043589">
        <w:rPr>
          <w:color w:val="000000"/>
        </w:rPr>
        <w:fldChar w:fldCharType="begin" w:fldLock="1"/>
      </w:r>
      <w:r w:rsidR="003A7EDF" w:rsidRPr="00043589">
        <w:rPr>
          <w:color w:val="000000"/>
        </w:rPr>
        <w:instrText>ADDIN CSL_CITATION {"citationItems":[{"id":"ITEM-1","itemData":{"DOI":"10.1093/jof/99.11.36","ISSN":"0022-1201","abstract":"This paper highlights findings in the literature on aboriginal fire from the human- and land-centred disciplines, and suggests that the traditional knowledge of indigenous peoples be incorporated into plans for reintroducing fire to USA forests. The extent and goals of indigenous burning, and the philosophy and evidence of fire suppression are discussed. Seasonality, frequency, extent, site and outcome revealed the difference of the philosophy and practice of native American burning from a non-anthropogenic fire regime. Traditional knowledge represents the outcome of long experimentation with application of fire by indigenous people, which can inform contemporary policy discussions.","author":[{"dropping-particle":"","family":"Kimmerer","given":"R. W.","non-dropping-particle":"","parse-names":false,"suffix":""},{"dropping-particle":"","family":"Lake","given":"F. K.","non-dropping-particle":"","parse-names":false,"suffix":""}],"container-title":"Journal of Forestry","id":"ITEM-1","issue":"11","issued":{"date-parts":[["2001"]]},"page":"36-41","title":"Maintaining the Mosaic: The role of indigenous burning in land management","type":"article-journal","volume":"99"},"uris":["http://www.mendeley.com/documents/?uuid=c9f874cc-3615-4e7b-80cc-3ba7b1bd2279"]}],"mendeley":{"formattedCitation":"(Kimmerer and Lake)","manualFormatting":"(Kimmerer and Lake, 2001)","plainTextFormattedCitation":"(Kimmerer and Lake)","previouslyFormattedCitation":"(Kimmerer and Lake)"},"properties":{"noteIndex":0},"schema":"https://github.com/citation-style-language/schema/raw/master/csl-citation.json"}</w:instrText>
      </w:r>
      <w:r w:rsidR="00E03A66" w:rsidRPr="00043589">
        <w:rPr>
          <w:color w:val="000000"/>
        </w:rPr>
        <w:fldChar w:fldCharType="separate"/>
      </w:r>
      <w:r w:rsidR="00493DFE" w:rsidRPr="00043589">
        <w:rPr>
          <w:noProof/>
          <w:color w:val="000000"/>
        </w:rPr>
        <w:t>(Kimmerer and Lake</w:t>
      </w:r>
      <w:r w:rsidR="003A7EDF" w:rsidRPr="00043589">
        <w:rPr>
          <w:noProof/>
          <w:color w:val="000000"/>
        </w:rPr>
        <w:t>, 2001</w:t>
      </w:r>
      <w:r w:rsidR="00493DFE" w:rsidRPr="00043589">
        <w:rPr>
          <w:noProof/>
          <w:color w:val="000000"/>
        </w:rPr>
        <w:t>)</w:t>
      </w:r>
      <w:r w:rsidR="00E03A66" w:rsidRPr="00043589">
        <w:rPr>
          <w:color w:val="000000"/>
        </w:rPr>
        <w:fldChar w:fldCharType="end"/>
      </w:r>
      <w:r w:rsidR="00F34956" w:rsidRPr="00043589">
        <w:rPr>
          <w:color w:val="000000"/>
        </w:rPr>
        <w:t>. These patches would be created in order to maintain paths, facilitate the gathering of basketry materials, aid in creating attractive browse for game, and increase the abundance of important plant food</w:t>
      </w:r>
      <w:r w:rsidR="00B12DD3">
        <w:rPr>
          <w:color w:val="000000"/>
        </w:rPr>
        <w:t xml:space="preserve"> and medicinal</w:t>
      </w:r>
      <w:r w:rsidR="00F34956" w:rsidRPr="00043589">
        <w:rPr>
          <w:color w:val="000000"/>
        </w:rPr>
        <w:t xml:space="preserve"> resources</w:t>
      </w:r>
      <w:r w:rsidR="00E03A66" w:rsidRPr="00043589">
        <w:rPr>
          <w:color w:val="000000"/>
        </w:rPr>
        <w:t xml:space="preserve"> </w:t>
      </w:r>
      <w:r w:rsidR="00E03A66" w:rsidRPr="00043589">
        <w:rPr>
          <w:color w:val="000000"/>
        </w:rPr>
        <w:fldChar w:fldCharType="begin" w:fldLock="1"/>
      </w:r>
      <w:r w:rsidR="003A7EDF" w:rsidRPr="00043589">
        <w:rPr>
          <w:color w:val="000000"/>
        </w:rPr>
        <w:instrText>ADDIN CSL_CITATION {"citationItems":[{"id":"ITEM-1","itemData":{"author":[{"dropping-particle":"","family":"Lightfoot","given":"Kent G.","non-dropping-particle":"","parse-names":false,"suffix":""},{"dropping-particle":"","family":"Parrish","given":"Otis","non-dropping-particle":"","parse-names":false,"suffix":""}],"id":"ITEM-1","issued":{"date-parts":[["2009"]]},"number-of-pages":"full","publisher":"University of California Press","publisher-place":"Berkeley","title":"California Indians and their Environment","type":"book"},"uris":["http://www.mendeley.com/documents/?uuid=888c94d6-21a1-4508-a02c-c942a7a4ee87"]}],"mendeley":{"formattedCitation":"(Lightfoot and Parrish)","manualFormatting":"(Lightfoot and Parrish, 2009)","plainTextFormattedCitation":"(Lightfoot and Parrish)","previouslyFormattedCitation":"(Lightfoot and Parrish)"},"properties":{"noteIndex":0},"schema":"https://github.com/citation-style-language/schema/raw/master/csl-citation.json"}</w:instrText>
      </w:r>
      <w:r w:rsidR="00E03A66" w:rsidRPr="00043589">
        <w:rPr>
          <w:color w:val="000000"/>
        </w:rPr>
        <w:fldChar w:fldCharType="separate"/>
      </w:r>
      <w:r w:rsidR="00493DFE" w:rsidRPr="00043589">
        <w:rPr>
          <w:noProof/>
          <w:color w:val="000000"/>
        </w:rPr>
        <w:t>(Lightfoot and Parrish</w:t>
      </w:r>
      <w:r w:rsidR="003A7EDF" w:rsidRPr="00043589">
        <w:rPr>
          <w:noProof/>
          <w:color w:val="000000"/>
        </w:rPr>
        <w:t>, 2009</w:t>
      </w:r>
      <w:r w:rsidR="00493DFE" w:rsidRPr="00043589">
        <w:rPr>
          <w:noProof/>
          <w:color w:val="000000"/>
        </w:rPr>
        <w:t>)</w:t>
      </w:r>
      <w:r w:rsidR="00E03A66" w:rsidRPr="00043589">
        <w:rPr>
          <w:color w:val="000000"/>
        </w:rPr>
        <w:fldChar w:fldCharType="end"/>
      </w:r>
      <w:r w:rsidR="00F34956" w:rsidRPr="00043589">
        <w:rPr>
          <w:color w:val="000000"/>
        </w:rPr>
        <w:t xml:space="preserve">. Fire also served a variety of aesthetic and religious purposes. For example, the Karuk tribe historically </w:t>
      </w:r>
      <w:r w:rsidR="00D349E0" w:rsidRPr="00043589">
        <w:rPr>
          <w:color w:val="000000"/>
        </w:rPr>
        <w:t>conducted ritual</w:t>
      </w:r>
      <w:r w:rsidR="00F34956" w:rsidRPr="00043589">
        <w:rPr>
          <w:color w:val="000000"/>
        </w:rPr>
        <w:t xml:space="preserve"> burns in ceremonies related to the new year</w:t>
      </w:r>
      <w:r w:rsidR="00277774" w:rsidRPr="00043589">
        <w:rPr>
          <w:color w:val="000000"/>
        </w:rPr>
        <w:t xml:space="preserve"> </w:t>
      </w:r>
      <w:r w:rsidR="00E03A66" w:rsidRPr="00043589">
        <w:rPr>
          <w:color w:val="000000"/>
        </w:rPr>
        <w:fldChar w:fldCharType="begin" w:fldLock="1"/>
      </w:r>
      <w:r w:rsidR="003A7EDF" w:rsidRPr="00043589">
        <w:rPr>
          <w:color w:val="000000"/>
        </w:rPr>
        <w:instrText>ADDIN CSL_CITATION {"citationItems":[{"id":"ITEM-1","itemData":{"DOI":"10.1093/jof/99.11.36","ISSN":"0022-1201","abstract":"This paper highlights findings in the literature on aboriginal fire from the human- and land-centred disciplines, and suggests that the traditional knowledge of indigenous peoples be incorporated into plans for reintroducing fire to USA forests. The extent and goals of indigenous burning, and the philosophy and evidence of fire suppression are discussed. Seasonality, frequency, extent, site and outcome revealed the difference of the philosophy and practice of native American burning from a non-anthropogenic fire regime. Traditional knowledge represents the outcome of long experimentation with application of fire by indigenous people, which can inform contemporary policy discussions.","author":[{"dropping-particle":"","family":"Kimmerer","given":"R. W.","non-dropping-particle":"","parse-names":false,"suffix":""},{"dropping-particle":"","family":"Lake","given":"F. K.","non-dropping-particle":"","parse-names":false,"suffix":""}],"container-title":"Journal of Forestry","id":"ITEM-1","issue":"11","issued":{"date-parts":[["2001"]]},"page":"36-41","title":"Maintaining the Mosaic: The role of indigenous burning in land management","type":"article-journal","volume":"99"},"uris":["http://www.mendeley.com/documents/?uuid=c9f874cc-3615-4e7b-80cc-3ba7b1bd2279"]}],"mendeley":{"formattedCitation":"(Kimmerer and Lake)","manualFormatting":"(Kimmerer and Lake, 2001)","plainTextFormattedCitation":"(Kimmerer and Lake)","previouslyFormattedCitation":"(Kimmerer and Lake)"},"properties":{"noteIndex":0},"schema":"https://github.com/citation-style-language/schema/raw/master/csl-citation.json"}</w:instrText>
      </w:r>
      <w:r w:rsidR="00E03A66" w:rsidRPr="00043589">
        <w:rPr>
          <w:color w:val="000000"/>
        </w:rPr>
        <w:fldChar w:fldCharType="separate"/>
      </w:r>
      <w:r w:rsidR="00493DFE" w:rsidRPr="00043589">
        <w:rPr>
          <w:noProof/>
          <w:color w:val="000000"/>
        </w:rPr>
        <w:t>(Kimmerer and Lake</w:t>
      </w:r>
      <w:r w:rsidR="003A7EDF" w:rsidRPr="00043589">
        <w:rPr>
          <w:noProof/>
          <w:color w:val="000000"/>
        </w:rPr>
        <w:t>, 2001</w:t>
      </w:r>
      <w:r w:rsidR="00493DFE" w:rsidRPr="00043589">
        <w:rPr>
          <w:noProof/>
          <w:color w:val="000000"/>
        </w:rPr>
        <w:t>)</w:t>
      </w:r>
      <w:r w:rsidR="00E03A66" w:rsidRPr="00043589">
        <w:rPr>
          <w:color w:val="000000"/>
        </w:rPr>
        <w:fldChar w:fldCharType="end"/>
      </w:r>
      <w:r w:rsidR="00F34956" w:rsidRPr="00043589">
        <w:rPr>
          <w:color w:val="000000"/>
        </w:rPr>
        <w:t xml:space="preserve">. </w:t>
      </w:r>
      <w:r w:rsidR="00D349E0" w:rsidRPr="00043589">
        <w:rPr>
          <w:color w:val="000000"/>
        </w:rPr>
        <w:t>Indigenous b</w:t>
      </w:r>
      <w:r w:rsidR="00D65EFD" w:rsidRPr="00043589">
        <w:rPr>
          <w:color w:val="000000"/>
        </w:rPr>
        <w:t>urning practices were extremely sophisticated, the result of knowledge being transmitted and refined intergenerationally</w:t>
      </w:r>
      <w:r w:rsidR="003A7EDF" w:rsidRPr="00043589">
        <w:rPr>
          <w:color w:val="000000"/>
        </w:rPr>
        <w:t xml:space="preserve"> (Kimmerer and Lake, 2001)</w:t>
      </w:r>
      <w:r w:rsidR="00CD5DE3" w:rsidRPr="00043589">
        <w:rPr>
          <w:color w:val="000000"/>
        </w:rPr>
        <w:t>.</w:t>
      </w:r>
    </w:p>
    <w:p w14:paraId="11B96AEF" w14:textId="62DD42A0" w:rsidR="00385474" w:rsidRPr="00043589" w:rsidRDefault="00DC0F3A" w:rsidP="009D7EF0">
      <w:pPr>
        <w:pStyle w:val="NormalWeb"/>
        <w:spacing w:before="0" w:beforeAutospacing="0" w:after="0" w:afterAutospacing="0" w:line="480" w:lineRule="auto"/>
        <w:ind w:firstLine="720"/>
        <w:rPr>
          <w:color w:val="000000"/>
        </w:rPr>
      </w:pPr>
      <w:r w:rsidRPr="00043589">
        <w:rPr>
          <w:color w:val="000000"/>
        </w:rPr>
        <w:t>Fire suppression in California began immediately with the onset of United States’ colonization</w:t>
      </w:r>
      <w:r w:rsidR="003A7EDF" w:rsidRPr="00043589">
        <w:rPr>
          <w:color w:val="000000"/>
        </w:rPr>
        <w:t xml:space="preserve"> </w:t>
      </w:r>
      <w:r w:rsidR="00306F74" w:rsidRPr="00043589">
        <w:rPr>
          <w:color w:val="000000"/>
        </w:rPr>
        <w:t>(</w:t>
      </w:r>
      <w:r w:rsidR="003A7EDF" w:rsidRPr="00043589">
        <w:t>van Wagtendonk</w:t>
      </w:r>
      <w:r w:rsidR="00306F74" w:rsidRPr="00043589">
        <w:t>, 2008)</w:t>
      </w:r>
      <w:r w:rsidRPr="00043589">
        <w:rPr>
          <w:color w:val="000000"/>
        </w:rPr>
        <w:t xml:space="preserve">. </w:t>
      </w:r>
      <w:r w:rsidR="00306F74" w:rsidRPr="00043589">
        <w:rPr>
          <w:color w:val="000000"/>
        </w:rPr>
        <w:t>Upon their arrival</w:t>
      </w:r>
      <w:r w:rsidR="00B12DD3">
        <w:rPr>
          <w:color w:val="000000"/>
        </w:rPr>
        <w:t>,</w:t>
      </w:r>
      <w:r w:rsidR="00306F74" w:rsidRPr="00043589">
        <w:rPr>
          <w:color w:val="000000"/>
        </w:rPr>
        <w:t xml:space="preserve"> anglo-american </w:t>
      </w:r>
      <w:r w:rsidR="00472A43" w:rsidRPr="00043589">
        <w:rPr>
          <w:color w:val="000000"/>
        </w:rPr>
        <w:t>settlers began the California</w:t>
      </w:r>
      <w:r w:rsidR="00240EF0" w:rsidRPr="00043589">
        <w:rPr>
          <w:color w:val="000000"/>
        </w:rPr>
        <w:t xml:space="preserve"> Genocide, the state sanctioned </w:t>
      </w:r>
      <w:r w:rsidR="00472A43" w:rsidRPr="00043589">
        <w:rPr>
          <w:color w:val="000000"/>
        </w:rPr>
        <w:t xml:space="preserve">mass </w:t>
      </w:r>
      <w:r w:rsidR="00240EF0" w:rsidRPr="00043589">
        <w:rPr>
          <w:color w:val="000000"/>
        </w:rPr>
        <w:t xml:space="preserve">murder of American Indians </w:t>
      </w:r>
      <w:r w:rsidR="00472A43" w:rsidRPr="00043589">
        <w:rPr>
          <w:color w:val="000000"/>
        </w:rPr>
        <w:t>in</w:t>
      </w:r>
      <w:r w:rsidR="00240EF0" w:rsidRPr="00043589">
        <w:rPr>
          <w:color w:val="000000"/>
        </w:rPr>
        <w:t xml:space="preserve"> areas considered valuable to miners and ranchers</w:t>
      </w:r>
      <w:r w:rsidR="00306F74" w:rsidRPr="00043589">
        <w:rPr>
          <w:color w:val="000000"/>
        </w:rPr>
        <w:t xml:space="preserve"> (Madley, 2016)</w:t>
      </w:r>
      <w:r w:rsidR="00240EF0" w:rsidRPr="00043589">
        <w:rPr>
          <w:color w:val="000000"/>
        </w:rPr>
        <w:t xml:space="preserve">. Dehumanization of American Indians </w:t>
      </w:r>
      <w:r w:rsidR="00472A43" w:rsidRPr="00043589">
        <w:rPr>
          <w:color w:val="000000"/>
        </w:rPr>
        <w:t xml:space="preserve">as a result of racism and settler propaganda to justify the genocide </w:t>
      </w:r>
      <w:r w:rsidR="004B358C" w:rsidRPr="00043589">
        <w:rPr>
          <w:color w:val="000000"/>
        </w:rPr>
        <w:t>consequently led to a belief that the general nature of their lives was poor</w:t>
      </w:r>
      <w:r w:rsidR="00FB5FAB" w:rsidRPr="00043589">
        <w:rPr>
          <w:color w:val="000000"/>
        </w:rPr>
        <w:t xml:space="preserve"> (Madley, 2016)</w:t>
      </w:r>
      <w:r w:rsidR="00472A43" w:rsidRPr="00043589">
        <w:rPr>
          <w:color w:val="000000"/>
        </w:rPr>
        <w:t xml:space="preserve">, despite the fact that the societies of </w:t>
      </w:r>
      <w:r w:rsidR="005D2180" w:rsidRPr="00043589">
        <w:rPr>
          <w:color w:val="000000"/>
        </w:rPr>
        <w:t>the indigenous people of Northern California coastal forests</w:t>
      </w:r>
      <w:r w:rsidR="00472A43" w:rsidRPr="00043589">
        <w:rPr>
          <w:color w:val="000000"/>
        </w:rPr>
        <w:t xml:space="preserve"> were socially stratified</w:t>
      </w:r>
      <w:r w:rsidR="00792F9B" w:rsidRPr="00043589">
        <w:rPr>
          <w:color w:val="000000"/>
        </w:rPr>
        <w:t xml:space="preserve"> as a result of wealth accumulation</w:t>
      </w:r>
      <w:r w:rsidR="00FB5FAB" w:rsidRPr="00043589">
        <w:rPr>
          <w:color w:val="000000"/>
        </w:rPr>
        <w:t xml:space="preserve"> (Thompson, 1991)</w:t>
      </w:r>
      <w:r w:rsidR="0094492E">
        <w:rPr>
          <w:color w:val="000000"/>
        </w:rPr>
        <w:t xml:space="preserve"> (Lesure, 1998)</w:t>
      </w:r>
      <w:r w:rsidR="004B358C" w:rsidRPr="00043589">
        <w:rPr>
          <w:color w:val="000000"/>
        </w:rPr>
        <w:t xml:space="preserve">. </w:t>
      </w:r>
      <w:r w:rsidR="00930599" w:rsidRPr="00043589">
        <w:rPr>
          <w:color w:val="000000"/>
        </w:rPr>
        <w:t xml:space="preserve">This dehumanization led many American foresters to see use of fire, by American Indians and non-American Indians alike, as something that was harmful to the overall utility of territory sought by European settlers and </w:t>
      </w:r>
      <w:r w:rsidR="00930599" w:rsidRPr="00043589">
        <w:rPr>
          <w:color w:val="000000"/>
        </w:rPr>
        <w:lastRenderedPageBreak/>
        <w:t xml:space="preserve">industrial timber interests (Pyne, 1982). Therefore, the institutions created and developed by the United States to manage settler land and water use </w:t>
      </w:r>
      <w:r w:rsidR="000E22BF" w:rsidRPr="00043589">
        <w:rPr>
          <w:color w:val="000000"/>
        </w:rPr>
        <w:t>advocated for the exclusion</w:t>
      </w:r>
      <w:r w:rsidR="00930599" w:rsidRPr="00043589">
        <w:rPr>
          <w:color w:val="000000"/>
        </w:rPr>
        <w:t xml:space="preserve"> indigenous</w:t>
      </w:r>
      <w:r w:rsidR="000E22BF" w:rsidRPr="00043589">
        <w:rPr>
          <w:color w:val="000000"/>
        </w:rPr>
        <w:t xml:space="preserve"> or indigenous inspired</w:t>
      </w:r>
      <w:r w:rsidR="00930599" w:rsidRPr="00043589">
        <w:rPr>
          <w:color w:val="000000"/>
        </w:rPr>
        <w:t xml:space="preserve"> knowledge of fire, a key component of ecosystems they managed (Pyne, 1982).</w:t>
      </w:r>
      <w:r w:rsidR="00C54554" w:rsidRPr="00043589">
        <w:rPr>
          <w:color w:val="000000"/>
        </w:rPr>
        <w:t xml:space="preserve"> The exclusion of fire from the California landscape, rather than being a </w:t>
      </w:r>
      <w:r w:rsidR="00F06F89" w:rsidRPr="00043589">
        <w:rPr>
          <w:color w:val="000000"/>
        </w:rPr>
        <w:t>cost-effective</w:t>
      </w:r>
      <w:r w:rsidR="00C54554" w:rsidRPr="00043589">
        <w:rPr>
          <w:color w:val="000000"/>
        </w:rPr>
        <w:t xml:space="preserve"> way to manage timber, was the result of colonial ideologies held by land manager who believed they were superior to indigenous people.</w:t>
      </w:r>
      <w:r w:rsidR="0094492E">
        <w:rPr>
          <w:color w:val="000000"/>
        </w:rPr>
        <w:t xml:space="preserve"> </w:t>
      </w:r>
    </w:p>
    <w:p w14:paraId="149253E6" w14:textId="486CC1D7" w:rsidR="00477664" w:rsidRDefault="005D2180" w:rsidP="00E866BF">
      <w:pPr>
        <w:pStyle w:val="NormalWeb"/>
        <w:spacing w:before="0" w:beforeAutospacing="0" w:after="0" w:afterAutospacing="0" w:line="480" w:lineRule="auto"/>
        <w:ind w:firstLine="720"/>
        <w:rPr>
          <w:color w:val="000000"/>
        </w:rPr>
      </w:pPr>
      <w:r w:rsidRPr="00043589">
        <w:rPr>
          <w:color w:val="000000"/>
        </w:rPr>
        <w:t xml:space="preserve">Many tribes in </w:t>
      </w:r>
      <w:r w:rsidR="00A03903" w:rsidRPr="00043589">
        <w:rPr>
          <w:color w:val="000000"/>
        </w:rPr>
        <w:t>the Northern California coastal forests</w:t>
      </w:r>
      <w:r w:rsidRPr="00043589">
        <w:rPr>
          <w:color w:val="000000"/>
        </w:rPr>
        <w:t xml:space="preserve"> </w:t>
      </w:r>
      <w:r w:rsidR="00A03903" w:rsidRPr="00043589">
        <w:rPr>
          <w:color w:val="000000"/>
        </w:rPr>
        <w:t xml:space="preserve">were able to persevere through the genocidal period of California history, and </w:t>
      </w:r>
      <w:r w:rsidR="001314BB" w:rsidRPr="00043589">
        <w:rPr>
          <w:color w:val="000000"/>
        </w:rPr>
        <w:t>thus had to contend with the newly created colonial institutions of the U</w:t>
      </w:r>
      <w:r w:rsidR="00D349E0" w:rsidRPr="00043589">
        <w:rPr>
          <w:color w:val="000000"/>
        </w:rPr>
        <w:t>nited States Forest Service (USFS)</w:t>
      </w:r>
      <w:r w:rsidR="001314BB" w:rsidRPr="00043589">
        <w:rPr>
          <w:color w:val="000000"/>
        </w:rPr>
        <w:t xml:space="preserve"> and </w:t>
      </w:r>
      <w:r w:rsidR="00D349E0" w:rsidRPr="00043589">
        <w:rPr>
          <w:color w:val="000000"/>
        </w:rPr>
        <w:t xml:space="preserve">the </w:t>
      </w:r>
      <w:r w:rsidR="001314BB" w:rsidRPr="00043589">
        <w:rPr>
          <w:color w:val="000000"/>
        </w:rPr>
        <w:t>California Department of Forestry and Fire Protection (Cal Fire). Fire</w:t>
      </w:r>
      <w:r w:rsidR="0035423A" w:rsidRPr="00043589">
        <w:rPr>
          <w:color w:val="000000"/>
        </w:rPr>
        <w:t>,</w:t>
      </w:r>
      <w:r w:rsidR="001314BB" w:rsidRPr="00043589">
        <w:rPr>
          <w:color w:val="000000"/>
        </w:rPr>
        <w:t xml:space="preserve"> being a central component of the lifestyle of tribes like the Yurok</w:t>
      </w:r>
      <w:r w:rsidR="00784D16">
        <w:rPr>
          <w:color w:val="000000"/>
        </w:rPr>
        <w:t>, Karuk, and</w:t>
      </w:r>
      <w:r w:rsidR="001314BB" w:rsidRPr="00043589">
        <w:rPr>
          <w:color w:val="000000"/>
        </w:rPr>
        <w:t xml:space="preserve"> </w:t>
      </w:r>
      <w:r w:rsidR="0035423A" w:rsidRPr="00043589">
        <w:rPr>
          <w:color w:val="000000"/>
        </w:rPr>
        <w:t>Hupa, continued to be used by indigenous people well into the 20</w:t>
      </w:r>
      <w:r w:rsidR="0035423A" w:rsidRPr="00043589">
        <w:rPr>
          <w:color w:val="000000"/>
          <w:vertAlign w:val="superscript"/>
        </w:rPr>
        <w:t>th</w:t>
      </w:r>
      <w:r w:rsidR="0035423A" w:rsidRPr="00043589">
        <w:rPr>
          <w:color w:val="000000"/>
        </w:rPr>
        <w:t xml:space="preserve"> century</w:t>
      </w:r>
      <w:r w:rsidR="000E22BF" w:rsidRPr="00043589">
        <w:rPr>
          <w:color w:val="000000"/>
        </w:rPr>
        <w:t xml:space="preserve"> (Anderson, 2005)</w:t>
      </w:r>
      <w:r w:rsidR="0035423A" w:rsidRPr="00043589">
        <w:rPr>
          <w:color w:val="000000"/>
        </w:rPr>
        <w:t>. However, i</w:t>
      </w:r>
      <w:r w:rsidR="00385474" w:rsidRPr="00043589">
        <w:rPr>
          <w:color w:val="000000"/>
        </w:rPr>
        <w:t xml:space="preserve">n Northern California, the </w:t>
      </w:r>
      <w:r w:rsidR="0035423A" w:rsidRPr="00043589">
        <w:rPr>
          <w:color w:val="000000"/>
        </w:rPr>
        <w:t>USFS soon began to prohibit indigenous fire and become an agent of wildfire suppression</w:t>
      </w:r>
      <w:r w:rsidR="00385474" w:rsidRPr="00043589">
        <w:rPr>
          <w:color w:val="000000"/>
        </w:rPr>
        <w:t>. The USFS was officially established in its contemporary sense starting in 190</w:t>
      </w:r>
      <w:r w:rsidR="000E22BF" w:rsidRPr="00043589">
        <w:rPr>
          <w:color w:val="000000"/>
        </w:rPr>
        <w:t>5</w:t>
      </w:r>
      <w:r w:rsidR="00385474" w:rsidRPr="00043589">
        <w:rPr>
          <w:color w:val="000000"/>
        </w:rPr>
        <w:t xml:space="preserve"> (Pyne, 1982).</w:t>
      </w:r>
      <w:r w:rsidR="001314BB" w:rsidRPr="00043589">
        <w:rPr>
          <w:color w:val="000000"/>
        </w:rPr>
        <w:t xml:space="preserve"> This placed it in direct conflict with tribes who were</w:t>
      </w:r>
      <w:r w:rsidR="0035423A" w:rsidRPr="00043589">
        <w:rPr>
          <w:color w:val="000000"/>
        </w:rPr>
        <w:t xml:space="preserve"> burning in order to manage the environment for culturally important resources</w:t>
      </w:r>
      <w:r w:rsidR="009268A6" w:rsidRPr="00043589">
        <w:rPr>
          <w:color w:val="000000"/>
        </w:rPr>
        <w:t xml:space="preserve"> (Pyne, 1982)</w:t>
      </w:r>
      <w:r w:rsidR="0035423A" w:rsidRPr="00043589">
        <w:rPr>
          <w:color w:val="000000"/>
        </w:rPr>
        <w:t xml:space="preserve">. </w:t>
      </w:r>
      <w:r w:rsidR="00EE3709" w:rsidRPr="00043589">
        <w:rPr>
          <w:color w:val="000000"/>
        </w:rPr>
        <w:t>Fire suppression on the scale subsequently</w:t>
      </w:r>
      <w:r w:rsidR="001D4C3C" w:rsidRPr="00043589">
        <w:rPr>
          <w:color w:val="000000"/>
        </w:rPr>
        <w:t xml:space="preserve"> </w:t>
      </w:r>
      <w:r w:rsidR="00EE3709" w:rsidRPr="00043589">
        <w:rPr>
          <w:color w:val="000000"/>
        </w:rPr>
        <w:t xml:space="preserve">enforced </w:t>
      </w:r>
      <w:r w:rsidR="001D4C3C" w:rsidRPr="00043589">
        <w:rPr>
          <w:color w:val="000000"/>
        </w:rPr>
        <w:t xml:space="preserve">until the 1970’s </w:t>
      </w:r>
      <w:r w:rsidR="00EE3709" w:rsidRPr="00043589">
        <w:rPr>
          <w:color w:val="000000"/>
        </w:rPr>
        <w:t xml:space="preserve">was unprecedented prior to the United States </w:t>
      </w:r>
      <w:r w:rsidR="00164537" w:rsidRPr="00043589">
        <w:rPr>
          <w:color w:val="000000"/>
        </w:rPr>
        <w:t>occupation of Northern California coastal forests, causing prairie loss, encroachment on hardwood dominated forest by pseudotsuga menziesii, and decreasing the prevalence of fire enhanced cultural resources utilized by local tribe</w:t>
      </w:r>
      <w:r w:rsidR="00CD5DE3" w:rsidRPr="00043589">
        <w:rPr>
          <w:color w:val="000000"/>
        </w:rPr>
        <w:t>s</w:t>
      </w:r>
      <w:r w:rsidR="009268A6" w:rsidRPr="00043589">
        <w:rPr>
          <w:color w:val="000000"/>
        </w:rPr>
        <w:t xml:space="preserve"> </w:t>
      </w:r>
      <w:r w:rsidR="009268A6" w:rsidRPr="00043589">
        <w:rPr>
          <w:color w:val="000000"/>
        </w:rPr>
        <w:fldChar w:fldCharType="begin" w:fldLock="1"/>
      </w:r>
      <w:r w:rsidR="00493DFE" w:rsidRPr="00043589">
        <w:rPr>
          <w:color w:val="000000"/>
        </w:rPr>
        <w:instrText>ADDIN CSL_CITATION {"citationItems":[{"id":"ITEM-1","itemData":{"DOI":"10.1093/jof/99.11.36","ISSN":"0022-1201","abstract":"This paper highlights findings in the literature on aboriginal fire from the human- and land-centred disciplines, and suggests that the traditional knowledge of indigenous peoples be incorporated into plans for reintroducing fire to USA forests. The extent and goals of indigenous burning, and the philosophy and evidence of fire suppression are discussed. Seasonality, frequency, extent, site and outcome revealed the difference of the philosophy and practice of native American burning from a non-anthropogenic fire regime. Traditional knowledge represents the outcome of long experimentation with application of fire by indigenous people, which can inform contemporary policy discussions.","author":[{"dropping-particle":"","family":"Kimmerer","given":"R. W.","non-dropping-particle":"","parse-names":false,"suffix":""},{"dropping-particle":"","family":"Lake","given":"F. K.","non-dropping-particle":"","parse-names":false,"suffix":""}],"container-title":"Journal of Forestry","id":"ITEM-1","issue":"11","issued":{"date-parts":[["2001"]]},"page":"36-41","title":"Maintaining the Mosaic: The role of indigenous burning in land management","type":"article-journal","volume":"99"},"uris":["http://www.mendeley.com/documents/?uuid=c9f874cc-3615-4e7b-80cc-3ba7b1bd2279"]}],"mendeley":{"formattedCitation":"(Kimmerer and Lake)","plainTextFormattedCitation":"(Kimmerer and Lake)","previouslyFormattedCitation":"(Kimmerer and Lake)"},"properties":{"noteIndex":0},"schema":"https://github.com/citation-style-language/schema/raw/master/csl-citation.json"}</w:instrText>
      </w:r>
      <w:r w:rsidR="009268A6" w:rsidRPr="00043589">
        <w:rPr>
          <w:color w:val="000000"/>
        </w:rPr>
        <w:fldChar w:fldCharType="separate"/>
      </w:r>
      <w:r w:rsidR="00493DFE" w:rsidRPr="00043589">
        <w:rPr>
          <w:noProof/>
          <w:color w:val="000000"/>
        </w:rPr>
        <w:t>(Kimmerer and Lake</w:t>
      </w:r>
      <w:r w:rsidR="004B5288" w:rsidRPr="00043589">
        <w:rPr>
          <w:noProof/>
          <w:color w:val="000000"/>
        </w:rPr>
        <w:t>, 2001</w:t>
      </w:r>
      <w:r w:rsidR="00493DFE" w:rsidRPr="00043589">
        <w:rPr>
          <w:noProof/>
          <w:color w:val="000000"/>
        </w:rPr>
        <w:t>)</w:t>
      </w:r>
      <w:r w:rsidR="009268A6" w:rsidRPr="00043589">
        <w:rPr>
          <w:color w:val="000000"/>
        </w:rPr>
        <w:fldChar w:fldCharType="end"/>
      </w:r>
      <w:r w:rsidR="004B5288" w:rsidRPr="00043589">
        <w:rPr>
          <w:color w:val="000000"/>
        </w:rPr>
        <w:t xml:space="preserve"> (Biswell, 1989)  (Figure 1)</w:t>
      </w:r>
      <w:r w:rsidR="005B729B" w:rsidRPr="00043589">
        <w:rPr>
          <w:color w:val="000000"/>
        </w:rPr>
        <w:t>.</w:t>
      </w:r>
      <w:r w:rsidR="00C54554" w:rsidRPr="00043589">
        <w:rPr>
          <w:color w:val="000000"/>
        </w:rPr>
        <w:t xml:space="preserve"> Colonial management of resources, therefore, had a profoundly negative effect on the ability of tribes to practice their culture by altering the environment in a way that it had not been altered in thousands of years</w:t>
      </w:r>
      <w:r w:rsidR="00E866BF">
        <w:rPr>
          <w:color w:val="000000"/>
        </w:rPr>
        <w:t>.</w:t>
      </w:r>
    </w:p>
    <w:p w14:paraId="05B7A03A" w14:textId="77777777" w:rsidR="007E1575" w:rsidRPr="00043589" w:rsidRDefault="007E1575" w:rsidP="00E866BF">
      <w:pPr>
        <w:pStyle w:val="NormalWeb"/>
        <w:spacing w:before="0" w:beforeAutospacing="0" w:after="0" w:afterAutospacing="0" w:line="480" w:lineRule="auto"/>
        <w:ind w:firstLine="720"/>
        <w:rPr>
          <w:color w:val="000000"/>
        </w:rPr>
      </w:pPr>
    </w:p>
    <w:p w14:paraId="7D579107" w14:textId="7D833C26" w:rsidR="001D4C3C" w:rsidRPr="00043589" w:rsidRDefault="00164537" w:rsidP="009D7EF0">
      <w:pPr>
        <w:pStyle w:val="NormalWeb"/>
        <w:numPr>
          <w:ilvl w:val="0"/>
          <w:numId w:val="3"/>
        </w:numPr>
        <w:spacing w:before="0" w:beforeAutospacing="0" w:after="0" w:afterAutospacing="0" w:line="480" w:lineRule="auto"/>
        <w:rPr>
          <w:color w:val="000000"/>
        </w:rPr>
      </w:pPr>
      <w:r w:rsidRPr="00043589">
        <w:rPr>
          <w:color w:val="000000"/>
        </w:rPr>
        <w:lastRenderedPageBreak/>
        <w:t>Contemporary Fire Policy</w:t>
      </w:r>
      <w:r w:rsidR="00230DEC" w:rsidRPr="00043589">
        <w:rPr>
          <w:color w:val="000000"/>
        </w:rPr>
        <w:t>, Social Aversion to Fire, and Indigenous Resurgence</w:t>
      </w:r>
    </w:p>
    <w:p w14:paraId="51FE3BEE" w14:textId="224EF2C4" w:rsidR="00512214" w:rsidRPr="00043589" w:rsidRDefault="00A533EA" w:rsidP="00482F42">
      <w:pPr>
        <w:pStyle w:val="NormalWeb"/>
        <w:spacing w:before="0" w:beforeAutospacing="0" w:after="0" w:afterAutospacing="0" w:line="480" w:lineRule="auto"/>
        <w:ind w:firstLine="360"/>
        <w:rPr>
          <w:color w:val="000000"/>
        </w:rPr>
      </w:pPr>
      <w:r w:rsidRPr="00043589">
        <w:rPr>
          <w:color w:val="000000"/>
        </w:rPr>
        <w:t xml:space="preserve">Since the 1970s the official position of the USFS has </w:t>
      </w:r>
      <w:r w:rsidRPr="00043589">
        <w:rPr>
          <w:i/>
          <w:iCs/>
          <w:color w:val="000000"/>
        </w:rPr>
        <w:t>not</w:t>
      </w:r>
      <w:r w:rsidRPr="00043589">
        <w:rPr>
          <w:color w:val="000000"/>
        </w:rPr>
        <w:t xml:space="preserve"> been one unequivocally committed to fire suppression. Research in the 1960s supported the role of fire in forest ecosystems throughout the continental United States</w:t>
      </w:r>
      <w:r w:rsidR="00C54554" w:rsidRPr="00043589">
        <w:rPr>
          <w:color w:val="000000"/>
        </w:rPr>
        <w:t xml:space="preserve"> (</w:t>
      </w:r>
      <w:r w:rsidR="00C54554" w:rsidRPr="00043589">
        <w:t>van Wagtendonk, 2008)</w:t>
      </w:r>
      <w:r w:rsidRPr="00043589">
        <w:rPr>
          <w:color w:val="000000"/>
        </w:rPr>
        <w:t xml:space="preserve">. This led to </w:t>
      </w:r>
      <w:r w:rsidR="00CF78E6" w:rsidRPr="00043589">
        <w:rPr>
          <w:color w:val="000000"/>
        </w:rPr>
        <w:t>broader institutional support within the USFS of policies that allowed wildfires to burn freely if they did not pose a risk to private or governmental property</w:t>
      </w:r>
      <w:r w:rsidR="00C54554" w:rsidRPr="00043589">
        <w:rPr>
          <w:color w:val="000000"/>
        </w:rPr>
        <w:t xml:space="preserve"> (</w:t>
      </w:r>
      <w:r w:rsidR="00C54554" w:rsidRPr="00043589">
        <w:t>van Wagtendonk, 2008)</w:t>
      </w:r>
      <w:r w:rsidR="00CF78E6" w:rsidRPr="00043589">
        <w:rPr>
          <w:color w:val="000000"/>
        </w:rPr>
        <w:t xml:space="preserve">. </w:t>
      </w:r>
      <w:r w:rsidR="00512214" w:rsidRPr="00043589">
        <w:rPr>
          <w:color w:val="000000"/>
        </w:rPr>
        <w:t>However, obstacles to broader use and tolerance of fire continued to present themselves.</w:t>
      </w:r>
    </w:p>
    <w:p w14:paraId="2BF7AC9F" w14:textId="4656BBC1" w:rsidR="00385474" w:rsidRPr="00043589" w:rsidRDefault="00512214" w:rsidP="0094492E">
      <w:pPr>
        <w:pStyle w:val="NormalWeb"/>
        <w:spacing w:before="0" w:beforeAutospacing="0" w:after="0" w:afterAutospacing="0" w:line="480" w:lineRule="auto"/>
        <w:ind w:firstLine="360"/>
        <w:rPr>
          <w:color w:val="000000"/>
        </w:rPr>
      </w:pPr>
      <w:r w:rsidRPr="00043589">
        <w:rPr>
          <w:color w:val="000000"/>
        </w:rPr>
        <w:t xml:space="preserve">In </w:t>
      </w:r>
      <w:r w:rsidR="002D351A">
        <w:rPr>
          <w:color w:val="000000"/>
        </w:rPr>
        <w:t>n</w:t>
      </w:r>
      <w:r w:rsidRPr="00043589">
        <w:rPr>
          <w:color w:val="000000"/>
        </w:rPr>
        <w:t>orthern California coastal forests, the reimplementation of fire regimes was complicated by the growth of communities in the WUI</w:t>
      </w:r>
      <w:r w:rsidR="0094492E">
        <w:rPr>
          <w:color w:val="000000"/>
        </w:rPr>
        <w:t xml:space="preserve"> (Hammer, 2007)</w:t>
      </w:r>
      <w:r w:rsidRPr="00043589">
        <w:rPr>
          <w:color w:val="000000"/>
        </w:rPr>
        <w:t xml:space="preserve">. </w:t>
      </w:r>
      <w:r w:rsidR="00385474" w:rsidRPr="00043589">
        <w:rPr>
          <w:color w:val="000000"/>
        </w:rPr>
        <w:t xml:space="preserve">Popular fear of fire or </w:t>
      </w:r>
      <w:r w:rsidR="00E866BF">
        <w:rPr>
          <w:color w:val="000000"/>
        </w:rPr>
        <w:t>prescribed</w:t>
      </w:r>
      <w:r w:rsidR="00385474" w:rsidRPr="00043589">
        <w:rPr>
          <w:color w:val="000000"/>
        </w:rPr>
        <w:t xml:space="preserve"> fires as a danger to life, property, and forest ecosystems had already been stoked by the USFS through mascots like Smoky the Bear (Kosek, 2006)</w:t>
      </w:r>
      <w:r w:rsidR="00F06F89" w:rsidRPr="00043589">
        <w:rPr>
          <w:color w:val="000000"/>
        </w:rPr>
        <w:t xml:space="preserve">. </w:t>
      </w:r>
      <w:r w:rsidR="00385474" w:rsidRPr="00043589">
        <w:rPr>
          <w:color w:val="000000"/>
        </w:rPr>
        <w:t xml:space="preserve">Aesthetic preferences of landowners who moved into the WUI often favored, and in many cases continue to favor, the exclusion of fire in favor of mechanical thinning (Fischer &amp; Charnley, 2012). </w:t>
      </w:r>
      <w:r w:rsidR="00F06F89" w:rsidRPr="00043589">
        <w:rPr>
          <w:color w:val="000000"/>
        </w:rPr>
        <w:t>Additional obstacles to the use of burning include burning restrictions in the interest of protecti</w:t>
      </w:r>
      <w:r w:rsidR="002D351A">
        <w:rPr>
          <w:color w:val="000000"/>
        </w:rPr>
        <w:t>ng</w:t>
      </w:r>
      <w:r w:rsidR="00F06F89" w:rsidRPr="00043589">
        <w:rPr>
          <w:color w:val="000000"/>
        </w:rPr>
        <w:t xml:space="preserve"> endangered species, lack of funding </w:t>
      </w:r>
      <w:r w:rsidR="002D351A">
        <w:rPr>
          <w:color w:val="000000"/>
        </w:rPr>
        <w:t>to pay for qualified people</w:t>
      </w:r>
      <w:r w:rsidR="00F06F89" w:rsidRPr="00043589">
        <w:rPr>
          <w:color w:val="000000"/>
        </w:rPr>
        <w:t xml:space="preserve"> to burn, and air quality restrictions (Quinn-Davidson &amp; Varner, 2011) </w:t>
      </w:r>
      <w:r w:rsidR="00385474" w:rsidRPr="00043589">
        <w:rPr>
          <w:color w:val="000000"/>
        </w:rPr>
        <w:t>All of these factors</w:t>
      </w:r>
      <w:r w:rsidR="00C551B2">
        <w:rPr>
          <w:color w:val="000000"/>
        </w:rPr>
        <w:t xml:space="preserve"> </w:t>
      </w:r>
      <w:r w:rsidR="00385474" w:rsidRPr="00043589">
        <w:rPr>
          <w:color w:val="000000"/>
        </w:rPr>
        <w:t>contribute to a lack of institutional commitment by both the USFS and CalFire to use fire as a land management tool.</w:t>
      </w:r>
      <w:r w:rsidR="00F91684" w:rsidRPr="00043589">
        <w:rPr>
          <w:color w:val="000000"/>
        </w:rPr>
        <w:t xml:space="preserve"> While there are organizations that recognize the importance of fire</w:t>
      </w:r>
      <w:r w:rsidR="00252292" w:rsidRPr="00043589">
        <w:rPr>
          <w:color w:val="000000"/>
        </w:rPr>
        <w:t xml:space="preserve"> being present</w:t>
      </w:r>
      <w:r w:rsidR="00F91684" w:rsidRPr="00043589">
        <w:rPr>
          <w:color w:val="000000"/>
        </w:rPr>
        <w:t xml:space="preserve"> in the Northern California coastal forests</w:t>
      </w:r>
      <w:r w:rsidR="00297C92" w:rsidRPr="00043589">
        <w:rPr>
          <w:color w:val="000000"/>
        </w:rPr>
        <w:t>’</w:t>
      </w:r>
      <w:r w:rsidR="00F91684" w:rsidRPr="00043589">
        <w:rPr>
          <w:color w:val="000000"/>
        </w:rPr>
        <w:t xml:space="preserve"> various habitats</w:t>
      </w:r>
      <w:r w:rsidR="00F06F89" w:rsidRPr="00043589">
        <w:rPr>
          <w:color w:val="000000"/>
        </w:rPr>
        <w:t xml:space="preserve"> (Northern California Prescribed Fire Council, etc.) </w:t>
      </w:r>
      <w:r w:rsidR="00F91684" w:rsidRPr="00043589">
        <w:rPr>
          <w:color w:val="000000"/>
        </w:rPr>
        <w:t xml:space="preserve">they are small </w:t>
      </w:r>
      <w:r w:rsidR="00297C92" w:rsidRPr="00043589">
        <w:rPr>
          <w:color w:val="000000"/>
        </w:rPr>
        <w:t>compared to</w:t>
      </w:r>
      <w:r w:rsidR="00F91684" w:rsidRPr="00043589">
        <w:rPr>
          <w:color w:val="000000"/>
        </w:rPr>
        <w:t xml:space="preserve"> state agencies</w:t>
      </w:r>
      <w:r w:rsidR="00297C92" w:rsidRPr="00043589">
        <w:rPr>
          <w:color w:val="000000"/>
        </w:rPr>
        <w:t>.</w:t>
      </w:r>
      <w:r w:rsidR="00F91684" w:rsidRPr="00043589">
        <w:rPr>
          <w:color w:val="000000"/>
        </w:rPr>
        <w:t xml:space="preserve"> </w:t>
      </w:r>
    </w:p>
    <w:p w14:paraId="5B50070B" w14:textId="65FCAAE0" w:rsidR="00DD79B8" w:rsidRDefault="00385474" w:rsidP="00DA732A">
      <w:pPr>
        <w:pStyle w:val="NormalWeb"/>
        <w:spacing w:before="0" w:beforeAutospacing="0" w:after="0" w:afterAutospacing="0" w:line="480" w:lineRule="auto"/>
        <w:ind w:firstLine="360"/>
        <w:rPr>
          <w:color w:val="000000"/>
        </w:rPr>
      </w:pPr>
      <w:r w:rsidRPr="00043589">
        <w:rPr>
          <w:color w:val="000000"/>
        </w:rPr>
        <w:t>Contemporarily, the Hupa, Karuk, and Yurok tribes have become established to the point that they are important political actors in decision making processes regarding large scale land management (Diver, 2016)</w:t>
      </w:r>
      <w:r w:rsidR="002D351A">
        <w:rPr>
          <w:color w:val="000000"/>
        </w:rPr>
        <w:t>.</w:t>
      </w:r>
      <w:r w:rsidR="00476D86" w:rsidRPr="00043589">
        <w:rPr>
          <w:color w:val="000000"/>
        </w:rPr>
        <w:t xml:space="preserve"> </w:t>
      </w:r>
      <w:r w:rsidR="002D351A">
        <w:rPr>
          <w:color w:val="000000"/>
        </w:rPr>
        <w:t>T</w:t>
      </w:r>
      <w:r w:rsidR="00F91684" w:rsidRPr="00043589">
        <w:rPr>
          <w:color w:val="000000"/>
        </w:rPr>
        <w:t>hey are often the strongest advocates</w:t>
      </w:r>
      <w:r w:rsidR="00476D86" w:rsidRPr="00043589">
        <w:rPr>
          <w:color w:val="000000"/>
        </w:rPr>
        <w:t xml:space="preserve"> of more aggressive fire use </w:t>
      </w:r>
      <w:r w:rsidR="00476D86" w:rsidRPr="00043589">
        <w:rPr>
          <w:color w:val="000000"/>
        </w:rPr>
        <w:lastRenderedPageBreak/>
        <w:t>and the re-establishment of cultural fire as well</w:t>
      </w:r>
      <w:r w:rsidRPr="00043589">
        <w:rPr>
          <w:color w:val="000000"/>
        </w:rPr>
        <w:t xml:space="preserve">. </w:t>
      </w:r>
      <w:r w:rsidR="00476D86" w:rsidRPr="00043589">
        <w:rPr>
          <w:color w:val="000000"/>
        </w:rPr>
        <w:t>The Yurok Tribe now actively burns on their reservation</w:t>
      </w:r>
      <w:r w:rsidR="00493DFE" w:rsidRPr="00043589">
        <w:rPr>
          <w:color w:val="000000"/>
        </w:rPr>
        <w:t xml:space="preserve"> (Yurok Tribe</w:t>
      </w:r>
      <w:r w:rsidR="00482F42" w:rsidRPr="00043589">
        <w:rPr>
          <w:color w:val="000000"/>
        </w:rPr>
        <w:t>, 2012</w:t>
      </w:r>
      <w:r w:rsidR="00493DFE" w:rsidRPr="00043589">
        <w:rPr>
          <w:color w:val="000000"/>
        </w:rPr>
        <w:t>)</w:t>
      </w:r>
      <w:r w:rsidR="00476D86" w:rsidRPr="00043589">
        <w:rPr>
          <w:color w:val="000000"/>
        </w:rPr>
        <w:t xml:space="preserve">. </w:t>
      </w:r>
      <w:r w:rsidRPr="00043589">
        <w:rPr>
          <w:color w:val="000000"/>
        </w:rPr>
        <w:t>The Karuk Tribe has a large</w:t>
      </w:r>
      <w:r w:rsidR="00476D86" w:rsidRPr="00043589">
        <w:rPr>
          <w:color w:val="000000"/>
        </w:rPr>
        <w:t xml:space="preserve"> </w:t>
      </w:r>
      <w:r w:rsidRPr="00043589">
        <w:rPr>
          <w:color w:val="000000"/>
        </w:rPr>
        <w:t>vested interest in USFS</w:t>
      </w:r>
      <w:r w:rsidR="002D351A">
        <w:rPr>
          <w:color w:val="000000"/>
        </w:rPr>
        <w:t xml:space="preserve"> public</w:t>
      </w:r>
      <w:r w:rsidRPr="00043589">
        <w:rPr>
          <w:color w:val="000000"/>
        </w:rPr>
        <w:t xml:space="preserve"> land management practices in the Six Rivers National Forest and the Klamath National Forest, as they lack a formal reservation in which to conduct broadcast burns, and much of their ancestral territory is within the confines of these national forests (Diver, 2016).</w:t>
      </w:r>
      <w:r w:rsidR="00476D86" w:rsidRPr="00043589">
        <w:rPr>
          <w:color w:val="000000"/>
        </w:rPr>
        <w:t xml:space="preserve"> However, state regulations place limits on all </w:t>
      </w:r>
      <w:r w:rsidR="00F91684" w:rsidRPr="00043589">
        <w:rPr>
          <w:color w:val="000000"/>
        </w:rPr>
        <w:t>tribe’s</w:t>
      </w:r>
      <w:r w:rsidR="00476D86" w:rsidRPr="00043589">
        <w:rPr>
          <w:color w:val="000000"/>
        </w:rPr>
        <w:t xml:space="preserve"> ability to conduct controlled burns due to the costly organizational requirements for being able to conduct the burns, air quality regulations, and lack of state funding for preventative fire measures.</w:t>
      </w:r>
    </w:p>
    <w:p w14:paraId="17E7C122" w14:textId="30E8E1C9" w:rsidR="00477664" w:rsidRDefault="00477664" w:rsidP="00DA732A">
      <w:pPr>
        <w:pStyle w:val="NormalWeb"/>
        <w:spacing w:before="0" w:beforeAutospacing="0" w:after="0" w:afterAutospacing="0" w:line="480" w:lineRule="auto"/>
        <w:ind w:firstLine="360"/>
        <w:rPr>
          <w:color w:val="000000"/>
        </w:rPr>
      </w:pPr>
    </w:p>
    <w:p w14:paraId="712AAAD7" w14:textId="0CE8FD9C" w:rsidR="00477664" w:rsidRDefault="00477664" w:rsidP="00DA732A">
      <w:pPr>
        <w:pStyle w:val="NormalWeb"/>
        <w:spacing w:before="0" w:beforeAutospacing="0" w:after="0" w:afterAutospacing="0" w:line="480" w:lineRule="auto"/>
        <w:ind w:firstLine="360"/>
        <w:rPr>
          <w:color w:val="000000"/>
        </w:rPr>
      </w:pPr>
    </w:p>
    <w:p w14:paraId="6155F4C1" w14:textId="399B7AF6" w:rsidR="00477664" w:rsidRDefault="00477664" w:rsidP="00DA732A">
      <w:pPr>
        <w:pStyle w:val="NormalWeb"/>
        <w:spacing w:before="0" w:beforeAutospacing="0" w:after="0" w:afterAutospacing="0" w:line="480" w:lineRule="auto"/>
        <w:ind w:firstLine="360"/>
        <w:rPr>
          <w:color w:val="000000"/>
        </w:rPr>
      </w:pPr>
    </w:p>
    <w:p w14:paraId="1CC909F5" w14:textId="678FC6A1" w:rsidR="00477664" w:rsidRDefault="00477664" w:rsidP="00DA732A">
      <w:pPr>
        <w:pStyle w:val="NormalWeb"/>
        <w:spacing w:before="0" w:beforeAutospacing="0" w:after="0" w:afterAutospacing="0" w:line="480" w:lineRule="auto"/>
        <w:ind w:firstLine="360"/>
        <w:rPr>
          <w:color w:val="000000"/>
        </w:rPr>
      </w:pPr>
    </w:p>
    <w:p w14:paraId="11C40B66" w14:textId="28F5F3AA" w:rsidR="00477664" w:rsidRDefault="00477664" w:rsidP="00DA732A">
      <w:pPr>
        <w:pStyle w:val="NormalWeb"/>
        <w:spacing w:before="0" w:beforeAutospacing="0" w:after="0" w:afterAutospacing="0" w:line="480" w:lineRule="auto"/>
        <w:ind w:firstLine="360"/>
        <w:rPr>
          <w:color w:val="000000"/>
        </w:rPr>
      </w:pPr>
    </w:p>
    <w:p w14:paraId="7E918FA7" w14:textId="708A9182" w:rsidR="00477664" w:rsidRDefault="00477664" w:rsidP="00DA732A">
      <w:pPr>
        <w:pStyle w:val="NormalWeb"/>
        <w:spacing w:before="0" w:beforeAutospacing="0" w:after="0" w:afterAutospacing="0" w:line="480" w:lineRule="auto"/>
        <w:ind w:firstLine="360"/>
        <w:rPr>
          <w:color w:val="000000"/>
        </w:rPr>
      </w:pPr>
    </w:p>
    <w:p w14:paraId="0EFD0A29" w14:textId="1C7B89F5" w:rsidR="007E1575" w:rsidRDefault="007E1575" w:rsidP="00DA732A">
      <w:pPr>
        <w:pStyle w:val="NormalWeb"/>
        <w:spacing w:before="0" w:beforeAutospacing="0" w:after="0" w:afterAutospacing="0" w:line="480" w:lineRule="auto"/>
        <w:ind w:firstLine="360"/>
        <w:rPr>
          <w:color w:val="000000"/>
        </w:rPr>
      </w:pPr>
    </w:p>
    <w:p w14:paraId="4A684549" w14:textId="77777777" w:rsidR="007E1575" w:rsidRDefault="007E1575" w:rsidP="00DA732A">
      <w:pPr>
        <w:pStyle w:val="NormalWeb"/>
        <w:spacing w:before="0" w:beforeAutospacing="0" w:after="0" w:afterAutospacing="0" w:line="480" w:lineRule="auto"/>
        <w:ind w:firstLine="360"/>
        <w:rPr>
          <w:color w:val="000000"/>
        </w:rPr>
      </w:pPr>
    </w:p>
    <w:p w14:paraId="26487FF8" w14:textId="29344485" w:rsidR="00477664" w:rsidRDefault="00477664" w:rsidP="00DA732A">
      <w:pPr>
        <w:pStyle w:val="NormalWeb"/>
        <w:spacing w:before="0" w:beforeAutospacing="0" w:after="0" w:afterAutospacing="0" w:line="480" w:lineRule="auto"/>
        <w:ind w:firstLine="360"/>
        <w:rPr>
          <w:color w:val="000000"/>
        </w:rPr>
      </w:pPr>
    </w:p>
    <w:p w14:paraId="5535606E" w14:textId="7BC14C0D" w:rsidR="002D351A" w:rsidRDefault="002D351A" w:rsidP="00DA732A">
      <w:pPr>
        <w:pStyle w:val="NormalWeb"/>
        <w:spacing w:before="0" w:beforeAutospacing="0" w:after="0" w:afterAutospacing="0" w:line="480" w:lineRule="auto"/>
        <w:ind w:firstLine="360"/>
        <w:rPr>
          <w:color w:val="000000"/>
        </w:rPr>
      </w:pPr>
    </w:p>
    <w:p w14:paraId="418F84BC" w14:textId="086DA6DF" w:rsidR="002D351A" w:rsidRDefault="002D351A" w:rsidP="00DA732A">
      <w:pPr>
        <w:pStyle w:val="NormalWeb"/>
        <w:spacing w:before="0" w:beforeAutospacing="0" w:after="0" w:afterAutospacing="0" w:line="480" w:lineRule="auto"/>
        <w:ind w:firstLine="360"/>
        <w:rPr>
          <w:color w:val="000000"/>
        </w:rPr>
      </w:pPr>
    </w:p>
    <w:p w14:paraId="71A75E9F" w14:textId="3CE60102" w:rsidR="00C551B2" w:rsidRDefault="00C551B2" w:rsidP="00DA732A">
      <w:pPr>
        <w:pStyle w:val="NormalWeb"/>
        <w:spacing w:before="0" w:beforeAutospacing="0" w:after="0" w:afterAutospacing="0" w:line="480" w:lineRule="auto"/>
        <w:ind w:firstLine="360"/>
        <w:rPr>
          <w:color w:val="000000"/>
        </w:rPr>
      </w:pPr>
    </w:p>
    <w:p w14:paraId="5EC17E52" w14:textId="4017EC67" w:rsidR="00C551B2" w:rsidRDefault="00C551B2" w:rsidP="00DA732A">
      <w:pPr>
        <w:pStyle w:val="NormalWeb"/>
        <w:spacing w:before="0" w:beforeAutospacing="0" w:after="0" w:afterAutospacing="0" w:line="480" w:lineRule="auto"/>
        <w:ind w:firstLine="360"/>
        <w:rPr>
          <w:color w:val="000000"/>
        </w:rPr>
      </w:pPr>
    </w:p>
    <w:p w14:paraId="70D4F25F" w14:textId="77777777" w:rsidR="00C551B2" w:rsidRDefault="00C551B2" w:rsidP="00DA732A">
      <w:pPr>
        <w:pStyle w:val="NormalWeb"/>
        <w:spacing w:before="0" w:beforeAutospacing="0" w:after="0" w:afterAutospacing="0" w:line="480" w:lineRule="auto"/>
        <w:ind w:firstLine="360"/>
        <w:rPr>
          <w:color w:val="000000"/>
        </w:rPr>
      </w:pPr>
    </w:p>
    <w:p w14:paraId="49035DEA" w14:textId="77777777" w:rsidR="00E866BF" w:rsidRPr="00043589" w:rsidRDefault="00E866BF" w:rsidP="00E866BF">
      <w:pPr>
        <w:pStyle w:val="NormalWeb"/>
        <w:spacing w:before="0" w:beforeAutospacing="0" w:after="0" w:afterAutospacing="0" w:line="480" w:lineRule="auto"/>
        <w:rPr>
          <w:color w:val="000000"/>
        </w:rPr>
      </w:pPr>
    </w:p>
    <w:p w14:paraId="4750ADDB" w14:textId="19919F27" w:rsidR="0079045B" w:rsidRPr="00043589" w:rsidRDefault="00297C92" w:rsidP="00DD79B8">
      <w:pPr>
        <w:pStyle w:val="NormalWeb"/>
        <w:numPr>
          <w:ilvl w:val="0"/>
          <w:numId w:val="3"/>
        </w:numPr>
        <w:spacing w:before="0" w:beforeAutospacing="0" w:after="0" w:afterAutospacing="0" w:line="480" w:lineRule="auto"/>
        <w:rPr>
          <w:color w:val="000000"/>
        </w:rPr>
      </w:pPr>
      <w:r w:rsidRPr="00043589">
        <w:rPr>
          <w:color w:val="000000"/>
        </w:rPr>
        <w:lastRenderedPageBreak/>
        <w:t>Tribal Governance as a Pathway Towards Improved Fire Utilization in NCCF</w:t>
      </w:r>
    </w:p>
    <w:p w14:paraId="298EF10A" w14:textId="2BF7D95C" w:rsidR="00385474" w:rsidRPr="00043589" w:rsidRDefault="00385474" w:rsidP="009D7EF0">
      <w:pPr>
        <w:pStyle w:val="NormalWeb"/>
        <w:spacing w:before="0" w:beforeAutospacing="0" w:after="0" w:afterAutospacing="0" w:line="480" w:lineRule="auto"/>
        <w:ind w:firstLine="360"/>
        <w:rPr>
          <w:color w:val="000000"/>
        </w:rPr>
      </w:pPr>
      <w:r w:rsidRPr="00043589">
        <w:rPr>
          <w:color w:val="000000"/>
        </w:rPr>
        <w:t>Tribal governments are often overlooked as important agents of change within the human-environmental systems they exist in. However, collaboration with indigenous people has often led to improved outcomes for nations when it comes to natural resource management (Diver, 2018)</w:t>
      </w:r>
      <w:r w:rsidR="00482F42" w:rsidRPr="00043589">
        <w:rPr>
          <w:color w:val="000000"/>
        </w:rPr>
        <w:t xml:space="preserve"> (Mistri et al, 2016)</w:t>
      </w:r>
      <w:r w:rsidRPr="00043589">
        <w:rPr>
          <w:color w:val="000000"/>
        </w:rPr>
        <w:t>. For example, in Mexico, Indigenous forms of agriculture and the allowance of this agriculture have been seen as a way to prevent deforestation (Toledo, Ortiz-Espejel, Cortés, Moguel, &amp; Ordoñez, 2003). In addition, tribes</w:t>
      </w:r>
      <w:r w:rsidR="00E04E49" w:rsidRPr="00043589">
        <w:rPr>
          <w:color w:val="000000"/>
        </w:rPr>
        <w:t xml:space="preserve"> in the United States</w:t>
      </w:r>
      <w:r w:rsidRPr="00043589">
        <w:rPr>
          <w:color w:val="000000"/>
        </w:rPr>
        <w:t xml:space="preserve"> can sub-contract with various state and federal agencies in order to carry out land management objectives, monitor environmental conditions, and provide health services to American Indian community members (Wagner, 2008). Oftentimes, tribes can be some of the largest employers within rural areas, for both tribal members and people unaffiliated with the tribe. (Wagner, 2008). The large rol</w:t>
      </w:r>
      <w:r w:rsidR="00252292" w:rsidRPr="00043589">
        <w:rPr>
          <w:color w:val="000000"/>
        </w:rPr>
        <w:t xml:space="preserve">e </w:t>
      </w:r>
      <w:r w:rsidRPr="00043589">
        <w:rPr>
          <w:color w:val="000000"/>
        </w:rPr>
        <w:t>tribal governments may play in communities</w:t>
      </w:r>
      <w:r w:rsidR="00DD79B8" w:rsidRPr="00043589">
        <w:rPr>
          <w:color w:val="000000"/>
        </w:rPr>
        <w:t xml:space="preserve"> within the wildland urban interface,</w:t>
      </w:r>
      <w:r w:rsidRPr="00043589">
        <w:rPr>
          <w:color w:val="000000"/>
        </w:rPr>
        <w:t xml:space="preserve"> also makes them excellent sources of information for non-tribal stakeholders in terms of education about local history and ecology. Thus, tribes stand poised to become some of the most essential collaborators in developing pathways for federal and state managers to introduce prescribed fire and limited wildfire fire tolerance into areas where fire suppression has been occurring for the past century.</w:t>
      </w:r>
      <w:r w:rsidR="00482F42" w:rsidRPr="00043589">
        <w:rPr>
          <w:color w:val="000000"/>
        </w:rPr>
        <w:t xml:space="preserve"> Additionally,</w:t>
      </w:r>
      <w:r w:rsidRPr="00043589">
        <w:rPr>
          <w:color w:val="000000"/>
        </w:rPr>
        <w:t xml:space="preserve"> </w:t>
      </w:r>
      <w:r w:rsidR="00482F42" w:rsidRPr="00043589">
        <w:rPr>
          <w:color w:val="000000"/>
        </w:rPr>
        <w:t>r</w:t>
      </w:r>
      <w:r w:rsidRPr="00043589">
        <w:rPr>
          <w:color w:val="000000"/>
        </w:rPr>
        <w:t>egardless of their utility in allowing federal agencies to achieve their objective, the federal government also holds a responsibility to help improve the capacity of tribes to exercise sovereignty and achieve self-determination (Indian Self-Determination and Education Assistance Act of 1975).</w:t>
      </w:r>
    </w:p>
    <w:p w14:paraId="7EF573B9" w14:textId="77D09193" w:rsidR="003B03F9" w:rsidRDefault="00385474" w:rsidP="009D7EF0">
      <w:pPr>
        <w:pStyle w:val="NormalWeb"/>
        <w:spacing w:before="0" w:beforeAutospacing="0" w:after="0" w:afterAutospacing="0" w:line="480" w:lineRule="auto"/>
        <w:ind w:firstLine="360"/>
        <w:rPr>
          <w:color w:val="000000"/>
        </w:rPr>
      </w:pPr>
      <w:r w:rsidRPr="00043589">
        <w:rPr>
          <w:color w:val="000000"/>
        </w:rPr>
        <w:t xml:space="preserve">In order to assess the impact of allowing indigenous people to collaboratively and independently manage natural resources adjacent to federal or state agency authority, there are many political, economic, and ecological factors to consider. Among these is increasing the </w:t>
      </w:r>
      <w:r w:rsidRPr="00043589">
        <w:rPr>
          <w:color w:val="000000"/>
        </w:rPr>
        <w:lastRenderedPageBreak/>
        <w:t>ability for indigenous knowledge and western scientific knowledge to exist contemporaneously and equally in decision-making processes</w:t>
      </w:r>
      <w:r w:rsidR="0094492E">
        <w:rPr>
          <w:color w:val="000000"/>
        </w:rPr>
        <w:t xml:space="preserve"> (Diver, 2018)</w:t>
      </w:r>
      <w:r w:rsidRPr="00043589">
        <w:rPr>
          <w:color w:val="000000"/>
        </w:rPr>
        <w:t xml:space="preserve">, allowing for government organizations sharing management power and responsibility with indigenous institutions to justify their decisions within the context of achieving optimal social and ecological outcomes. Therefore, a more robust understanding of indigenous knowledge of fire within a Western scientific framework </w:t>
      </w:r>
      <w:r w:rsidR="00297C92" w:rsidRPr="00043589">
        <w:rPr>
          <w:color w:val="000000"/>
        </w:rPr>
        <w:t>w</w:t>
      </w:r>
      <w:r w:rsidRPr="00043589">
        <w:rPr>
          <w:color w:val="000000"/>
        </w:rPr>
        <w:t>ould lead to more collaboration. In the context of the Karuk Tribe and the United States Forest Service, this means not only</w:t>
      </w:r>
      <w:r w:rsidR="00297C92" w:rsidRPr="00043589">
        <w:rPr>
          <w:color w:val="000000"/>
        </w:rPr>
        <w:t xml:space="preserve"> that</w:t>
      </w:r>
      <w:r w:rsidRPr="00043589">
        <w:rPr>
          <w:color w:val="000000"/>
        </w:rPr>
        <w:t xml:space="preserve"> the current research behind the beneficial effects of controlled or managed fire on preventing catastrophic wildfires, but also the effect these fires have on culturally important natural resources. </w:t>
      </w:r>
      <w:r w:rsidR="00032F57" w:rsidRPr="00043589">
        <w:rPr>
          <w:color w:val="000000"/>
        </w:rPr>
        <w:t xml:space="preserve">One such resource is the Calfornia </w:t>
      </w:r>
      <w:r w:rsidR="00482F42" w:rsidRPr="00043589">
        <w:rPr>
          <w:color w:val="000000"/>
        </w:rPr>
        <w:t>hazelnut</w:t>
      </w:r>
      <w:r w:rsidR="00032F57" w:rsidRPr="00043589">
        <w:rPr>
          <w:color w:val="000000"/>
        </w:rPr>
        <w:t>.</w:t>
      </w:r>
    </w:p>
    <w:p w14:paraId="4907C821" w14:textId="4A957AA5" w:rsidR="00E866BF" w:rsidRDefault="00E866BF" w:rsidP="009D7EF0">
      <w:pPr>
        <w:pStyle w:val="NormalWeb"/>
        <w:spacing w:before="0" w:beforeAutospacing="0" w:after="0" w:afterAutospacing="0" w:line="480" w:lineRule="auto"/>
        <w:ind w:firstLine="360"/>
        <w:rPr>
          <w:color w:val="000000"/>
        </w:rPr>
      </w:pPr>
    </w:p>
    <w:p w14:paraId="638EF1EB" w14:textId="7DE3A660" w:rsidR="00E866BF" w:rsidRDefault="00E866BF" w:rsidP="009D7EF0">
      <w:pPr>
        <w:pStyle w:val="NormalWeb"/>
        <w:spacing w:before="0" w:beforeAutospacing="0" w:after="0" w:afterAutospacing="0" w:line="480" w:lineRule="auto"/>
        <w:ind w:firstLine="360"/>
        <w:rPr>
          <w:color w:val="000000"/>
        </w:rPr>
      </w:pPr>
    </w:p>
    <w:p w14:paraId="2172A132" w14:textId="459EB96E" w:rsidR="00E866BF" w:rsidRDefault="00E866BF" w:rsidP="009D7EF0">
      <w:pPr>
        <w:pStyle w:val="NormalWeb"/>
        <w:spacing w:before="0" w:beforeAutospacing="0" w:after="0" w:afterAutospacing="0" w:line="480" w:lineRule="auto"/>
        <w:ind w:firstLine="360"/>
        <w:rPr>
          <w:color w:val="000000"/>
        </w:rPr>
      </w:pPr>
    </w:p>
    <w:p w14:paraId="753C88A0" w14:textId="2E524FE5" w:rsidR="00E866BF" w:rsidRDefault="00E866BF" w:rsidP="009D7EF0">
      <w:pPr>
        <w:pStyle w:val="NormalWeb"/>
        <w:spacing w:before="0" w:beforeAutospacing="0" w:after="0" w:afterAutospacing="0" w:line="480" w:lineRule="auto"/>
        <w:ind w:firstLine="360"/>
        <w:rPr>
          <w:color w:val="000000"/>
        </w:rPr>
      </w:pPr>
    </w:p>
    <w:p w14:paraId="26CFE214" w14:textId="1020E399" w:rsidR="00E866BF" w:rsidRDefault="00E866BF" w:rsidP="009D7EF0">
      <w:pPr>
        <w:pStyle w:val="NormalWeb"/>
        <w:spacing w:before="0" w:beforeAutospacing="0" w:after="0" w:afterAutospacing="0" w:line="480" w:lineRule="auto"/>
        <w:ind w:firstLine="360"/>
        <w:rPr>
          <w:color w:val="000000"/>
        </w:rPr>
      </w:pPr>
    </w:p>
    <w:p w14:paraId="58C81F40" w14:textId="1063BCB6" w:rsidR="00E866BF" w:rsidRDefault="00E866BF" w:rsidP="009D7EF0">
      <w:pPr>
        <w:pStyle w:val="NormalWeb"/>
        <w:spacing w:before="0" w:beforeAutospacing="0" w:after="0" w:afterAutospacing="0" w:line="480" w:lineRule="auto"/>
        <w:ind w:firstLine="360"/>
        <w:rPr>
          <w:color w:val="000000"/>
        </w:rPr>
      </w:pPr>
    </w:p>
    <w:p w14:paraId="5D4B3927" w14:textId="29DC7F5C" w:rsidR="00E866BF" w:rsidRDefault="00E866BF" w:rsidP="009D7EF0">
      <w:pPr>
        <w:pStyle w:val="NormalWeb"/>
        <w:spacing w:before="0" w:beforeAutospacing="0" w:after="0" w:afterAutospacing="0" w:line="480" w:lineRule="auto"/>
        <w:ind w:firstLine="360"/>
        <w:rPr>
          <w:color w:val="000000"/>
        </w:rPr>
      </w:pPr>
    </w:p>
    <w:p w14:paraId="0B0EBF5F" w14:textId="4FD055E9" w:rsidR="00E866BF" w:rsidRDefault="00E866BF" w:rsidP="009D7EF0">
      <w:pPr>
        <w:pStyle w:val="NormalWeb"/>
        <w:spacing w:before="0" w:beforeAutospacing="0" w:after="0" w:afterAutospacing="0" w:line="480" w:lineRule="auto"/>
        <w:ind w:firstLine="360"/>
        <w:rPr>
          <w:color w:val="000000"/>
        </w:rPr>
      </w:pPr>
    </w:p>
    <w:p w14:paraId="067CA08B" w14:textId="7627A040" w:rsidR="00E866BF" w:rsidRDefault="00E866BF" w:rsidP="009D7EF0">
      <w:pPr>
        <w:pStyle w:val="NormalWeb"/>
        <w:spacing w:before="0" w:beforeAutospacing="0" w:after="0" w:afterAutospacing="0" w:line="480" w:lineRule="auto"/>
        <w:ind w:firstLine="360"/>
        <w:rPr>
          <w:color w:val="000000"/>
        </w:rPr>
      </w:pPr>
    </w:p>
    <w:p w14:paraId="27C0252F" w14:textId="189124D7" w:rsidR="002D351A" w:rsidRDefault="002D351A" w:rsidP="002D351A">
      <w:pPr>
        <w:pStyle w:val="NormalWeb"/>
        <w:spacing w:before="0" w:beforeAutospacing="0" w:after="0" w:afterAutospacing="0" w:line="480" w:lineRule="auto"/>
        <w:ind w:firstLine="360"/>
        <w:rPr>
          <w:color w:val="000000"/>
        </w:rPr>
      </w:pPr>
    </w:p>
    <w:p w14:paraId="133F1563" w14:textId="7624432A" w:rsidR="002D351A" w:rsidRDefault="002D351A" w:rsidP="002D351A">
      <w:pPr>
        <w:pStyle w:val="NormalWeb"/>
        <w:spacing w:before="0" w:beforeAutospacing="0" w:after="0" w:afterAutospacing="0" w:line="480" w:lineRule="auto"/>
        <w:ind w:firstLine="360"/>
        <w:rPr>
          <w:color w:val="000000"/>
        </w:rPr>
      </w:pPr>
    </w:p>
    <w:p w14:paraId="6831980B" w14:textId="51A2CC84" w:rsidR="002D351A" w:rsidRDefault="002D351A" w:rsidP="002D351A">
      <w:pPr>
        <w:pStyle w:val="NormalWeb"/>
        <w:spacing w:before="0" w:beforeAutospacing="0" w:after="0" w:afterAutospacing="0" w:line="480" w:lineRule="auto"/>
        <w:ind w:firstLine="360"/>
        <w:rPr>
          <w:color w:val="000000"/>
        </w:rPr>
      </w:pPr>
    </w:p>
    <w:p w14:paraId="6D8CBAB8" w14:textId="77777777" w:rsidR="002D351A" w:rsidRDefault="002D351A" w:rsidP="002D351A">
      <w:pPr>
        <w:pStyle w:val="NormalWeb"/>
        <w:spacing w:before="0" w:beforeAutospacing="0" w:after="0" w:afterAutospacing="0" w:line="480" w:lineRule="auto"/>
        <w:ind w:firstLine="360"/>
        <w:rPr>
          <w:color w:val="000000"/>
        </w:rPr>
      </w:pPr>
    </w:p>
    <w:p w14:paraId="6C4A9936" w14:textId="77777777" w:rsidR="00E866BF" w:rsidRPr="00043589" w:rsidRDefault="00E866BF" w:rsidP="00E866BF">
      <w:pPr>
        <w:pStyle w:val="NormalWeb"/>
        <w:spacing w:before="0" w:beforeAutospacing="0" w:after="0" w:afterAutospacing="0" w:line="480" w:lineRule="auto"/>
        <w:rPr>
          <w:color w:val="000000"/>
        </w:rPr>
      </w:pPr>
    </w:p>
    <w:p w14:paraId="5B852DDD" w14:textId="3B061CD5" w:rsidR="00032F57" w:rsidRPr="00043589" w:rsidRDefault="00032F57" w:rsidP="009D7EF0">
      <w:pPr>
        <w:pStyle w:val="NormalWeb"/>
        <w:numPr>
          <w:ilvl w:val="0"/>
          <w:numId w:val="3"/>
        </w:numPr>
        <w:spacing w:before="0" w:beforeAutospacing="0" w:after="0" w:afterAutospacing="0" w:line="480" w:lineRule="auto"/>
        <w:rPr>
          <w:color w:val="000000"/>
        </w:rPr>
      </w:pPr>
      <w:r w:rsidRPr="00043589">
        <w:rPr>
          <w:color w:val="000000"/>
        </w:rPr>
        <w:lastRenderedPageBreak/>
        <w:t>The California Beaked Hazelnut</w:t>
      </w:r>
    </w:p>
    <w:p w14:paraId="5C11A95D" w14:textId="3C83F605" w:rsidR="005B729B" w:rsidRPr="00043589" w:rsidRDefault="00385474" w:rsidP="00540F6D">
      <w:pPr>
        <w:pStyle w:val="NormalWeb"/>
        <w:spacing w:before="0" w:beforeAutospacing="0" w:after="0" w:afterAutospacing="0" w:line="480" w:lineRule="auto"/>
        <w:ind w:firstLine="360"/>
        <w:rPr>
          <w:noProof/>
          <w:color w:val="000000"/>
        </w:rPr>
      </w:pPr>
      <w:r w:rsidRPr="00043589">
        <w:rPr>
          <w:color w:val="000000"/>
        </w:rPr>
        <w:t xml:space="preserve">The California </w:t>
      </w:r>
      <w:r w:rsidR="00482F42" w:rsidRPr="00043589">
        <w:rPr>
          <w:color w:val="000000"/>
        </w:rPr>
        <w:t>hazelnut</w:t>
      </w:r>
      <w:r w:rsidRPr="00043589">
        <w:rPr>
          <w:color w:val="000000"/>
        </w:rPr>
        <w:t xml:space="preserve"> is a species of shrub that extends from southwestern British Columbia to the central coast of California (Fryer, 2007). Hazelnut most commonly occurs within Douglas Fir dominated mixed-evergreen forests (Fryer, 2007). The shrub itself grows in thickets, with multiple stems shot out of a single plant’s</w:t>
      </w:r>
      <w:r w:rsidR="005B729B" w:rsidRPr="00043589">
        <w:rPr>
          <w:color w:val="000000"/>
        </w:rPr>
        <w:t xml:space="preserve"> </w:t>
      </w:r>
      <w:r w:rsidRPr="00043589">
        <w:rPr>
          <w:color w:val="000000"/>
        </w:rPr>
        <w:t>rhizome. The physical characteristics of the plant vary depending on a multitude of factors. High fire frequency (3-</w:t>
      </w:r>
      <w:r w:rsidR="00DA732A" w:rsidRPr="00043589">
        <w:rPr>
          <w:color w:val="000000"/>
        </w:rPr>
        <w:t>7</w:t>
      </w:r>
      <w:r w:rsidRPr="00043589">
        <w:rPr>
          <w:color w:val="000000"/>
        </w:rPr>
        <w:t xml:space="preserve"> year fire return interval) in areas where hazelnut is present tends to keep the shrubs </w:t>
      </w:r>
      <w:r w:rsidR="00DA732A" w:rsidRPr="00043589">
        <w:rPr>
          <w:color w:val="000000"/>
        </w:rPr>
        <w:t>at one to</w:t>
      </w:r>
      <w:r w:rsidRPr="00043589">
        <w:rPr>
          <w:color w:val="000000"/>
        </w:rPr>
        <w:t xml:space="preserve"> 1-</w:t>
      </w:r>
      <w:r w:rsidR="00DA732A" w:rsidRPr="00043589">
        <w:rPr>
          <w:color w:val="000000"/>
        </w:rPr>
        <w:t>3</w:t>
      </w:r>
      <w:r w:rsidRPr="00043589">
        <w:rPr>
          <w:color w:val="000000"/>
        </w:rPr>
        <w:t xml:space="preserve"> meters height</w:t>
      </w:r>
      <w:r w:rsidR="00DA732A" w:rsidRPr="00043589">
        <w:rPr>
          <w:color w:val="000000"/>
        </w:rPr>
        <w:t>. At very high fire frequencies (2-</w:t>
      </w:r>
      <w:r w:rsidR="00540F6D" w:rsidRPr="00043589">
        <w:rPr>
          <w:color w:val="000000"/>
        </w:rPr>
        <w:t>5</w:t>
      </w:r>
      <w:r w:rsidR="00DA732A" w:rsidRPr="00043589">
        <w:rPr>
          <w:color w:val="000000"/>
        </w:rPr>
        <w:t xml:space="preserve"> year fire return interval), shrub</w:t>
      </w:r>
      <w:r w:rsidR="00C85D04" w:rsidRPr="00043589">
        <w:rPr>
          <w:color w:val="000000"/>
        </w:rPr>
        <w:t>s</w:t>
      </w:r>
      <w:r w:rsidR="00DA732A" w:rsidRPr="00043589">
        <w:rPr>
          <w:color w:val="000000"/>
        </w:rPr>
        <w:t xml:space="preserve"> will have</w:t>
      </w:r>
      <w:r w:rsidRPr="00043589">
        <w:rPr>
          <w:color w:val="000000"/>
        </w:rPr>
        <w:t xml:space="preserve"> </w:t>
      </w:r>
      <w:r w:rsidR="00DA732A" w:rsidRPr="00043589">
        <w:rPr>
          <w:color w:val="000000"/>
        </w:rPr>
        <w:t>more</w:t>
      </w:r>
      <w:r w:rsidRPr="00043589">
        <w:rPr>
          <w:color w:val="000000"/>
        </w:rPr>
        <w:t xml:space="preserve"> and physical characteristics that favor their use in basketry materials </w:t>
      </w:r>
      <w:r w:rsidR="00C85D04" w:rsidRPr="00043589">
        <w:rPr>
          <w:color w:val="000000"/>
        </w:rPr>
        <w:t xml:space="preserve">based on ethnographic knowledge </w:t>
      </w:r>
      <w:r w:rsidRPr="00043589">
        <w:rPr>
          <w:color w:val="000000"/>
        </w:rPr>
        <w:t>(</w:t>
      </w:r>
      <w:r w:rsidR="00DA732A" w:rsidRPr="00043589">
        <w:rPr>
          <w:color w:val="000000"/>
        </w:rPr>
        <w:t>Marks-Block et al 2019</w:t>
      </w:r>
      <w:r w:rsidRPr="00043589">
        <w:rPr>
          <w:color w:val="000000"/>
        </w:rPr>
        <w:t>). Low fire frequencies (&gt;20 year fire return intervals) tend to allow hazelnut shrubs to gain more stems with diameters around 3-6 cm and reach heights of 4-10 m (</w:t>
      </w:r>
      <w:r w:rsidR="00493DFE" w:rsidRPr="00043589">
        <w:rPr>
          <w:color w:val="000000"/>
        </w:rPr>
        <w:t>Fryer, 2019</w:t>
      </w:r>
      <w:r w:rsidRPr="00043589">
        <w:rPr>
          <w:color w:val="000000"/>
        </w:rPr>
        <w:t xml:space="preserve">). Nuts grow individually or in clusters of up to </w:t>
      </w:r>
      <w:r w:rsidR="00493DFE" w:rsidRPr="00043589">
        <w:rPr>
          <w:color w:val="000000"/>
        </w:rPr>
        <w:t>4</w:t>
      </w:r>
      <w:r w:rsidRPr="00043589">
        <w:rPr>
          <w:color w:val="000000"/>
        </w:rPr>
        <w:t>, surrounded by bracts that extend at least twice as long as the nut itself (</w:t>
      </w:r>
      <w:r w:rsidR="00493DFE" w:rsidRPr="00043589">
        <w:rPr>
          <w:color w:val="000000"/>
        </w:rPr>
        <w:t>Fryer, 2019</w:t>
      </w:r>
      <w:r w:rsidRPr="00043589">
        <w:rPr>
          <w:color w:val="000000"/>
        </w:rPr>
        <w:t>).</w:t>
      </w:r>
      <w:r w:rsidR="005B729B" w:rsidRPr="00043589">
        <w:rPr>
          <w:color w:val="000000"/>
        </w:rPr>
        <w:t xml:space="preserve"> </w:t>
      </w:r>
      <w:r w:rsidRPr="00043589">
        <w:rPr>
          <w:color w:val="000000"/>
        </w:rPr>
        <w:t>Controlled burning at specific intervals</w:t>
      </w:r>
      <w:r w:rsidR="006725C1" w:rsidRPr="00043589">
        <w:rPr>
          <w:color w:val="000000"/>
        </w:rPr>
        <w:t xml:space="preserve"> along with pruning were</w:t>
      </w:r>
      <w:r w:rsidRPr="00043589">
        <w:rPr>
          <w:color w:val="000000"/>
        </w:rPr>
        <w:t xml:space="preserve"> likely precolonial management practice</w:t>
      </w:r>
      <w:r w:rsidR="006725C1" w:rsidRPr="00043589">
        <w:rPr>
          <w:color w:val="000000"/>
        </w:rPr>
        <w:t>s</w:t>
      </w:r>
      <w:r w:rsidRPr="00043589">
        <w:rPr>
          <w:color w:val="000000"/>
        </w:rPr>
        <w:t xml:space="preserve"> to achieve desirable characteristics of hazelnuts</w:t>
      </w:r>
      <w:r w:rsidR="00493DFE" w:rsidRPr="00043589">
        <w:rPr>
          <w:color w:val="000000"/>
        </w:rPr>
        <w:t xml:space="preserve"> </w:t>
      </w:r>
      <w:r w:rsidR="00493DFE" w:rsidRPr="00043589">
        <w:rPr>
          <w:color w:val="000000"/>
        </w:rPr>
        <w:fldChar w:fldCharType="begin" w:fldLock="1"/>
      </w:r>
      <w:r w:rsidR="00493DFE" w:rsidRPr="00043589">
        <w:rPr>
          <w:color w:val="000000"/>
        </w:rPr>
        <w:instrText>ADDIN CSL_CITATION {"citationItems":[{"id":"ITEM-1","itemData":{"author":[{"dropping-particle":"","family":"Lightfoot","given":"Kent G.","non-dropping-particle":"","parse-names":false,"suffix":""},{"dropping-particle":"","family":"Parrish","given":"Otis","non-dropping-particle":"","parse-names":false,"suffix":""}],"id":"ITEM-1","issued":{"date-parts":[["2009"]]},"number-of-pages":"full","publisher":"University of California Press","publisher-place":"Berkeley","title":"California Indians and their Environment","type":"book"},"uris":["http://www.mendeley.com/documents/?uuid=888c94d6-21a1-4508-a02c-c942a7a4ee87"]}],"mendeley":{"formattedCitation":"(Lightfoot and Parrish)","plainTextFormattedCitation":"(Lightfoot and Parrish)","previouslyFormattedCitation":"(Lightfoot and Parrish)"},"properties":{"noteIndex":0},"schema":"https://github.com/citation-style-language/schema/raw/master/csl-citation.json"}</w:instrText>
      </w:r>
      <w:r w:rsidR="00493DFE" w:rsidRPr="00043589">
        <w:rPr>
          <w:color w:val="000000"/>
        </w:rPr>
        <w:fldChar w:fldCharType="separate"/>
      </w:r>
      <w:r w:rsidR="00493DFE" w:rsidRPr="00043589">
        <w:rPr>
          <w:noProof/>
          <w:color w:val="000000"/>
        </w:rPr>
        <w:t>(Lightfoot and Parrish</w:t>
      </w:r>
      <w:r w:rsidR="00540F6D" w:rsidRPr="00043589">
        <w:rPr>
          <w:noProof/>
          <w:color w:val="000000"/>
        </w:rPr>
        <w:t>, 2009</w:t>
      </w:r>
      <w:r w:rsidR="00493DFE" w:rsidRPr="00043589">
        <w:rPr>
          <w:noProof/>
          <w:color w:val="000000"/>
        </w:rPr>
        <w:t>)</w:t>
      </w:r>
      <w:r w:rsidR="00493DFE" w:rsidRPr="00043589">
        <w:rPr>
          <w:color w:val="000000"/>
        </w:rPr>
        <w:fldChar w:fldCharType="end"/>
      </w:r>
      <w:r w:rsidRPr="00043589">
        <w:rPr>
          <w:color w:val="000000"/>
        </w:rPr>
        <w:t xml:space="preserve">. </w:t>
      </w:r>
      <w:r w:rsidR="005B729B" w:rsidRPr="00043589">
        <w:rPr>
          <w:color w:val="000000"/>
        </w:rPr>
        <w:t xml:space="preserve">Hazelnut fire management </w:t>
      </w:r>
      <w:r w:rsidRPr="00043589">
        <w:rPr>
          <w:color w:val="000000"/>
        </w:rPr>
        <w:t>strategies</w:t>
      </w:r>
      <w:r w:rsidR="00C85D04" w:rsidRPr="00043589">
        <w:rPr>
          <w:color w:val="000000"/>
        </w:rPr>
        <w:t xml:space="preserve"> for optimal nut production</w:t>
      </w:r>
      <w:r w:rsidRPr="00043589">
        <w:rPr>
          <w:color w:val="000000"/>
        </w:rPr>
        <w:t xml:space="preserve"> were never described </w:t>
      </w:r>
      <w:r w:rsidR="005B729B" w:rsidRPr="00043589">
        <w:rPr>
          <w:color w:val="000000"/>
        </w:rPr>
        <w:t>in depth by ethnographers.</w:t>
      </w:r>
      <w:r w:rsidRPr="00043589">
        <w:rPr>
          <w:color w:val="000000"/>
        </w:rPr>
        <w:t xml:space="preserve"> Currently, hazelnuts are commonly described as a minor species </w:t>
      </w:r>
      <w:r w:rsidR="009268A6" w:rsidRPr="00043589">
        <w:rPr>
          <w:color w:val="000000"/>
        </w:rPr>
        <w:t>throughout</w:t>
      </w:r>
      <w:r w:rsidR="005B729B" w:rsidRPr="00043589">
        <w:rPr>
          <w:color w:val="000000"/>
        </w:rPr>
        <w:t xml:space="preserve"> the NCCS</w:t>
      </w:r>
      <w:r w:rsidR="003B03F9" w:rsidRPr="00043589">
        <w:rPr>
          <w:color w:val="000000"/>
        </w:rPr>
        <w:t xml:space="preserve"> ecoregion</w:t>
      </w:r>
      <w:r w:rsidRPr="00043589">
        <w:rPr>
          <w:color w:val="000000"/>
        </w:rPr>
        <w:t>, however it is acknowledged that they may become frequent or dominant in areas where burning occurs regularly (Fryer, 2019).</w:t>
      </w:r>
    </w:p>
    <w:p w14:paraId="29E337C6" w14:textId="2D81ED9E" w:rsidR="00385474" w:rsidRPr="00043589" w:rsidRDefault="00385474" w:rsidP="009D7EF0">
      <w:pPr>
        <w:pStyle w:val="NormalWeb"/>
        <w:spacing w:before="0" w:beforeAutospacing="0" w:after="0" w:afterAutospacing="0" w:line="480" w:lineRule="auto"/>
        <w:ind w:firstLine="720"/>
        <w:rPr>
          <w:color w:val="000000"/>
        </w:rPr>
      </w:pPr>
      <w:r w:rsidRPr="00043589">
        <w:rPr>
          <w:color w:val="000000"/>
        </w:rPr>
        <w:t xml:space="preserve">Hazelnut thickets in areas that no longer have fire frequencies beyond 20 years tend to occur in the understory of mixed hardwood-evergreen forests, where nut production tends to be quite low (Fryer, 2019). Most studies of hazelnut trees report that nut productivity declines as the amount of time that has passed since the last fire has occurred. Maximum nut production is speculated to occur at around 11 years after the last fire (Fryer, 2019). </w:t>
      </w:r>
    </w:p>
    <w:p w14:paraId="3DC73508" w14:textId="047B7F86" w:rsidR="009D7EF0" w:rsidRPr="00043589" w:rsidRDefault="00385474" w:rsidP="009D7EF0">
      <w:pPr>
        <w:pStyle w:val="NormalWeb"/>
        <w:spacing w:before="0" w:beforeAutospacing="0" w:after="0" w:afterAutospacing="0" w:line="480" w:lineRule="auto"/>
        <w:ind w:firstLine="720"/>
        <w:rPr>
          <w:color w:val="000000"/>
        </w:rPr>
      </w:pPr>
      <w:r w:rsidRPr="00043589">
        <w:rPr>
          <w:color w:val="000000"/>
        </w:rPr>
        <w:lastRenderedPageBreak/>
        <w:t>California hazelnuts tend to begin producing nuts in June and typically will be fully matured by late July to mid-August (Fryer, 2019). Seeds suffer from high predation by rodents and weevils (Fryer, 2019). This tends to make it very hard for humans to gather hazelnuts except during a specific interval wherein the nut meat is developed to a point where it is nutritious but not ripe enough to be targeted by seed predators. The factors that determine the spread of hazelnut plants within ecosystems vary depending on the age of the stand and how frequently it is affected by fire. Seed dispersal occurs in older stands when a chipmunk or other seed predator stores a seed</w:t>
      </w:r>
      <w:r w:rsidR="00CC6FEC" w:rsidRPr="00043589">
        <w:rPr>
          <w:color w:val="000000"/>
        </w:rPr>
        <w:t xml:space="preserve"> </w:t>
      </w:r>
      <w:r w:rsidRPr="00043589">
        <w:rPr>
          <w:color w:val="000000"/>
        </w:rPr>
        <w:t xml:space="preserve">in a cache (Fryer, 2019). Only when the seed is buried will germination occur. In younger stands more frequently burned in low-intensity fires, rhizomatous reproduction may occur leading to high abundance or stand dominance. Although fire is not a necessary aspect of </w:t>
      </w:r>
      <w:r w:rsidR="00511059" w:rsidRPr="00043589">
        <w:rPr>
          <w:color w:val="000000"/>
        </w:rPr>
        <w:t xml:space="preserve">California </w:t>
      </w:r>
      <w:r w:rsidRPr="00043589">
        <w:rPr>
          <w:color w:val="000000"/>
        </w:rPr>
        <w:t xml:space="preserve">hazelnut reproduction or occurrence, </w:t>
      </w:r>
      <w:r w:rsidR="00511059" w:rsidRPr="00043589">
        <w:rPr>
          <w:color w:val="000000"/>
        </w:rPr>
        <w:t xml:space="preserve">California </w:t>
      </w:r>
      <w:r w:rsidRPr="00043589">
        <w:rPr>
          <w:color w:val="000000"/>
        </w:rPr>
        <w:t>hazelnut is highly adapted to fire and benefits from increased use of fire (Fryer, 2019). Historically, burning hazelnut would have served the dual purpose of facilitating new shoot development and easing the process of harvesting the nuts, rather than simply new shoot development as it does no</w:t>
      </w:r>
      <w:r w:rsidR="00CC6FEC" w:rsidRPr="00043589">
        <w:rPr>
          <w:color w:val="000000"/>
        </w:rPr>
        <w:t>w</w:t>
      </w:r>
      <w:r w:rsidR="009D7EF0" w:rsidRPr="00043589">
        <w:rPr>
          <w:color w:val="000000"/>
        </w:rPr>
        <w:t>.</w:t>
      </w:r>
    </w:p>
    <w:p w14:paraId="72776418" w14:textId="3540A961" w:rsidR="004D150C" w:rsidRPr="00043589" w:rsidRDefault="004D150C" w:rsidP="0019721F">
      <w:pPr>
        <w:pStyle w:val="NormalWeb"/>
        <w:spacing w:before="0" w:beforeAutospacing="0" w:after="0" w:afterAutospacing="0" w:line="480" w:lineRule="auto"/>
        <w:ind w:firstLine="720"/>
        <w:rPr>
          <w:color w:val="000000"/>
        </w:rPr>
      </w:pPr>
      <w:r w:rsidRPr="00043589">
        <w:rPr>
          <w:color w:val="000000"/>
        </w:rPr>
        <w:t xml:space="preserve">As hazelnuts are non-timber forest products, renewed harvesting by indigenous and non-indigenous people alike could be considered a good way to increase the prevalence of traditional foods into tribal citizens’ diets, at least marginally increase local food consumption, and increase the perceived value of controlled burning to all community members. Although there may be limited potential for hazelnuts to become a main income source in the same way basketry material harvesting can be when the material is woven into traditional baskets, it may be a useful supplemental resource. Investigating the effect of fire on hazelnuts would allow for important aspects of indigenous knowledge of how fire effects the land to be tested in ecological communities that have changed over the past 100 years of fire suppression. In addition, these </w:t>
      </w:r>
      <w:r w:rsidRPr="00043589">
        <w:rPr>
          <w:color w:val="000000"/>
        </w:rPr>
        <w:lastRenderedPageBreak/>
        <w:t xml:space="preserve">relationships need to be understood in terms of their impact upon humans, especially the indigenous people whose cultures </w:t>
      </w:r>
      <w:r w:rsidR="00511059" w:rsidRPr="00043589">
        <w:rPr>
          <w:color w:val="000000"/>
        </w:rPr>
        <w:t>greatly benefit</w:t>
      </w:r>
      <w:r w:rsidRPr="00043589">
        <w:rPr>
          <w:color w:val="000000"/>
        </w:rPr>
        <w:t xml:space="preserve"> </w:t>
      </w:r>
      <w:r w:rsidR="00511059" w:rsidRPr="00043589">
        <w:rPr>
          <w:color w:val="000000"/>
        </w:rPr>
        <w:t>from</w:t>
      </w:r>
      <w:r w:rsidRPr="00043589">
        <w:rPr>
          <w:color w:val="000000"/>
        </w:rPr>
        <w:t xml:space="preserve"> these resources. In order to understand the economic effect of fire management on WUI communities that contain tribal governments, models need to be created that consider the contemporary livelihoods of tribal citizens and treat tribal governments as sovereign nations. We approached this need by investigating </w:t>
      </w:r>
      <w:r w:rsidR="0019721F" w:rsidRPr="00043589">
        <w:rPr>
          <w:color w:val="000000"/>
        </w:rPr>
        <w:t>h</w:t>
      </w:r>
      <w:r w:rsidRPr="00043589">
        <w:rPr>
          <w:color w:val="000000"/>
        </w:rPr>
        <w:t xml:space="preserve">ow </w:t>
      </w:r>
      <w:r w:rsidR="0019721F" w:rsidRPr="00043589">
        <w:rPr>
          <w:color w:val="000000"/>
        </w:rPr>
        <w:t xml:space="preserve">the </w:t>
      </w:r>
      <w:r w:rsidRPr="00043589">
        <w:rPr>
          <w:color w:val="000000"/>
        </w:rPr>
        <w:t xml:space="preserve">culturally important plant species </w:t>
      </w:r>
      <w:r w:rsidR="0019721F" w:rsidRPr="00043589">
        <w:rPr>
          <w:color w:val="000000"/>
        </w:rPr>
        <w:t>of California Hazelnut would</w:t>
      </w:r>
      <w:r w:rsidRPr="00043589">
        <w:rPr>
          <w:color w:val="000000"/>
        </w:rPr>
        <w:t xml:space="preserve"> </w:t>
      </w:r>
      <w:r w:rsidR="0019721F" w:rsidRPr="00043589">
        <w:rPr>
          <w:color w:val="000000"/>
        </w:rPr>
        <w:t xml:space="preserve">respond to reintroduced burning </w:t>
      </w:r>
      <w:r w:rsidRPr="00043589">
        <w:rPr>
          <w:color w:val="000000"/>
        </w:rPr>
        <w:t>regimes</w:t>
      </w:r>
      <w:r w:rsidR="0019721F" w:rsidRPr="00043589">
        <w:rPr>
          <w:color w:val="000000"/>
        </w:rPr>
        <w:t xml:space="preserve"> and how </w:t>
      </w:r>
      <w:r w:rsidRPr="00043589">
        <w:rPr>
          <w:color w:val="000000"/>
        </w:rPr>
        <w:t xml:space="preserve">fire management </w:t>
      </w:r>
      <w:r w:rsidR="0019721F" w:rsidRPr="00043589">
        <w:rPr>
          <w:color w:val="000000"/>
        </w:rPr>
        <w:t xml:space="preserve">practices associated with greatest California Hazelnut nut productivity </w:t>
      </w:r>
      <w:r w:rsidRPr="00043589">
        <w:rPr>
          <w:color w:val="000000"/>
        </w:rPr>
        <w:t xml:space="preserve">would </w:t>
      </w:r>
      <w:r w:rsidR="0019721F" w:rsidRPr="00043589">
        <w:rPr>
          <w:color w:val="000000"/>
        </w:rPr>
        <w:t>could be judged in the context of</w:t>
      </w:r>
      <w:r w:rsidRPr="00043589">
        <w:rPr>
          <w:color w:val="000000"/>
        </w:rPr>
        <w:t xml:space="preserve"> promoting tribal sovereignty and self-determination, accommodating human use and occupancy, and promoting biodiversity</w:t>
      </w:r>
      <w:r w:rsidR="0019721F" w:rsidRPr="00043589">
        <w:rPr>
          <w:color w:val="000000"/>
        </w:rPr>
        <w:t>.</w:t>
      </w:r>
    </w:p>
    <w:p w14:paraId="588DC520" w14:textId="51D03291" w:rsidR="00D82EFD" w:rsidRPr="00043589" w:rsidRDefault="00D82EFD" w:rsidP="0019721F">
      <w:pPr>
        <w:pStyle w:val="NormalWeb"/>
        <w:spacing w:before="0" w:beforeAutospacing="0" w:after="0" w:afterAutospacing="0" w:line="480" w:lineRule="auto"/>
        <w:ind w:firstLine="720"/>
        <w:rPr>
          <w:color w:val="000000"/>
        </w:rPr>
      </w:pPr>
    </w:p>
    <w:p w14:paraId="3B30CBA1" w14:textId="5A00A8FE" w:rsidR="00D82EFD" w:rsidRPr="00043589" w:rsidRDefault="00D82EFD" w:rsidP="0019721F">
      <w:pPr>
        <w:pStyle w:val="NormalWeb"/>
        <w:spacing w:before="0" w:beforeAutospacing="0" w:after="0" w:afterAutospacing="0" w:line="480" w:lineRule="auto"/>
        <w:ind w:firstLine="720"/>
        <w:rPr>
          <w:color w:val="000000"/>
        </w:rPr>
      </w:pPr>
    </w:p>
    <w:p w14:paraId="665FF961" w14:textId="6C858B08" w:rsidR="00D82EFD" w:rsidRPr="00043589" w:rsidRDefault="00D82EFD" w:rsidP="0019721F">
      <w:pPr>
        <w:pStyle w:val="NormalWeb"/>
        <w:spacing w:before="0" w:beforeAutospacing="0" w:after="0" w:afterAutospacing="0" w:line="480" w:lineRule="auto"/>
        <w:ind w:firstLine="720"/>
        <w:rPr>
          <w:color w:val="000000"/>
        </w:rPr>
      </w:pPr>
    </w:p>
    <w:p w14:paraId="5A339A6E" w14:textId="08B856CA" w:rsidR="00C85D04" w:rsidRPr="00043589" w:rsidRDefault="00C85D04" w:rsidP="0019721F">
      <w:pPr>
        <w:pStyle w:val="NormalWeb"/>
        <w:spacing w:before="0" w:beforeAutospacing="0" w:after="0" w:afterAutospacing="0" w:line="480" w:lineRule="auto"/>
        <w:ind w:firstLine="720"/>
        <w:rPr>
          <w:color w:val="000000"/>
        </w:rPr>
      </w:pPr>
    </w:p>
    <w:p w14:paraId="22E63B48" w14:textId="757CFFF6" w:rsidR="00C85D04" w:rsidRPr="00043589" w:rsidRDefault="00C85D04" w:rsidP="0019721F">
      <w:pPr>
        <w:pStyle w:val="NormalWeb"/>
        <w:spacing w:before="0" w:beforeAutospacing="0" w:after="0" w:afterAutospacing="0" w:line="480" w:lineRule="auto"/>
        <w:ind w:firstLine="720"/>
        <w:rPr>
          <w:color w:val="000000"/>
        </w:rPr>
      </w:pPr>
    </w:p>
    <w:p w14:paraId="57747328" w14:textId="2972A9DD" w:rsidR="00C85D04" w:rsidRPr="00043589" w:rsidRDefault="00C85D04" w:rsidP="0019721F">
      <w:pPr>
        <w:pStyle w:val="NormalWeb"/>
        <w:spacing w:before="0" w:beforeAutospacing="0" w:after="0" w:afterAutospacing="0" w:line="480" w:lineRule="auto"/>
        <w:ind w:firstLine="720"/>
        <w:rPr>
          <w:color w:val="000000"/>
        </w:rPr>
      </w:pPr>
    </w:p>
    <w:p w14:paraId="2EEB3F14" w14:textId="11DFBA29" w:rsidR="00C85D04" w:rsidRPr="00043589" w:rsidRDefault="00C85D04" w:rsidP="0019721F">
      <w:pPr>
        <w:pStyle w:val="NormalWeb"/>
        <w:spacing w:before="0" w:beforeAutospacing="0" w:after="0" w:afterAutospacing="0" w:line="480" w:lineRule="auto"/>
        <w:ind w:firstLine="720"/>
        <w:rPr>
          <w:color w:val="000000"/>
        </w:rPr>
      </w:pPr>
    </w:p>
    <w:p w14:paraId="4EF56CD8" w14:textId="385D6BEB" w:rsidR="00C85D04" w:rsidRPr="00043589" w:rsidRDefault="00C85D04" w:rsidP="0019721F">
      <w:pPr>
        <w:pStyle w:val="NormalWeb"/>
        <w:spacing w:before="0" w:beforeAutospacing="0" w:after="0" w:afterAutospacing="0" w:line="480" w:lineRule="auto"/>
        <w:ind w:firstLine="720"/>
        <w:rPr>
          <w:color w:val="000000"/>
        </w:rPr>
      </w:pPr>
    </w:p>
    <w:p w14:paraId="7301DADA" w14:textId="2935DE26" w:rsidR="00C85D04" w:rsidRPr="00043589" w:rsidRDefault="00C85D04" w:rsidP="0019721F">
      <w:pPr>
        <w:pStyle w:val="NormalWeb"/>
        <w:spacing w:before="0" w:beforeAutospacing="0" w:after="0" w:afterAutospacing="0" w:line="480" w:lineRule="auto"/>
        <w:ind w:firstLine="720"/>
        <w:rPr>
          <w:color w:val="000000"/>
        </w:rPr>
      </w:pPr>
    </w:p>
    <w:p w14:paraId="12982283" w14:textId="7170B2BC" w:rsidR="00C85D04" w:rsidRPr="00043589" w:rsidRDefault="00C85D04" w:rsidP="0019721F">
      <w:pPr>
        <w:pStyle w:val="NormalWeb"/>
        <w:spacing w:before="0" w:beforeAutospacing="0" w:after="0" w:afterAutospacing="0" w:line="480" w:lineRule="auto"/>
        <w:ind w:firstLine="720"/>
        <w:rPr>
          <w:color w:val="000000"/>
        </w:rPr>
      </w:pPr>
    </w:p>
    <w:p w14:paraId="3DD1A5D5" w14:textId="77777777" w:rsidR="00C85D04" w:rsidRPr="00043589" w:rsidRDefault="00C85D04" w:rsidP="00E866BF">
      <w:pPr>
        <w:pStyle w:val="NormalWeb"/>
        <w:spacing w:before="0" w:beforeAutospacing="0" w:after="0" w:afterAutospacing="0" w:line="480" w:lineRule="auto"/>
        <w:rPr>
          <w:color w:val="000000"/>
        </w:rPr>
      </w:pPr>
    </w:p>
    <w:p w14:paraId="5A7F01A1" w14:textId="77777777" w:rsidR="007E1575" w:rsidRDefault="007E1575" w:rsidP="009D7EF0">
      <w:pPr>
        <w:pStyle w:val="NormalWeb"/>
        <w:spacing w:before="0" w:beforeAutospacing="0" w:after="0" w:afterAutospacing="0" w:line="480" w:lineRule="auto"/>
        <w:jc w:val="center"/>
        <w:rPr>
          <w:b/>
          <w:bCs/>
          <w:color w:val="000000"/>
        </w:rPr>
      </w:pPr>
    </w:p>
    <w:p w14:paraId="08325F7F" w14:textId="77777777" w:rsidR="007E1575" w:rsidRDefault="007E1575" w:rsidP="009D7EF0">
      <w:pPr>
        <w:pStyle w:val="NormalWeb"/>
        <w:spacing w:before="0" w:beforeAutospacing="0" w:after="0" w:afterAutospacing="0" w:line="480" w:lineRule="auto"/>
        <w:jc w:val="center"/>
        <w:rPr>
          <w:b/>
          <w:bCs/>
          <w:color w:val="000000"/>
        </w:rPr>
      </w:pPr>
    </w:p>
    <w:p w14:paraId="056D4BFC" w14:textId="77777777" w:rsidR="007E1575" w:rsidRDefault="007E1575" w:rsidP="002D351A">
      <w:pPr>
        <w:pStyle w:val="NormalWeb"/>
        <w:spacing w:before="0" w:beforeAutospacing="0" w:after="0" w:afterAutospacing="0" w:line="480" w:lineRule="auto"/>
        <w:rPr>
          <w:b/>
          <w:bCs/>
          <w:color w:val="000000"/>
        </w:rPr>
      </w:pPr>
    </w:p>
    <w:p w14:paraId="4564E132" w14:textId="0E7A5075" w:rsidR="009D7EF0" w:rsidRPr="00043589" w:rsidRDefault="009D7EF0" w:rsidP="009D7EF0">
      <w:pPr>
        <w:pStyle w:val="NormalWeb"/>
        <w:spacing w:before="0" w:beforeAutospacing="0" w:after="0" w:afterAutospacing="0" w:line="480" w:lineRule="auto"/>
        <w:jc w:val="center"/>
        <w:rPr>
          <w:b/>
          <w:bCs/>
          <w:color w:val="000000"/>
        </w:rPr>
      </w:pPr>
      <w:r w:rsidRPr="00043589">
        <w:rPr>
          <w:b/>
          <w:bCs/>
          <w:color w:val="000000"/>
        </w:rPr>
        <w:lastRenderedPageBreak/>
        <w:t>Methods</w:t>
      </w:r>
    </w:p>
    <w:p w14:paraId="79FC32FD" w14:textId="47641C96" w:rsidR="002B5716" w:rsidRPr="00043589" w:rsidRDefault="0019721F" w:rsidP="002B5716">
      <w:pPr>
        <w:pStyle w:val="NormalWeb"/>
        <w:spacing w:before="0" w:beforeAutospacing="0" w:after="0" w:afterAutospacing="0" w:line="480" w:lineRule="auto"/>
        <w:ind w:firstLine="720"/>
      </w:pPr>
      <w:r w:rsidRPr="00043589">
        <w:rPr>
          <w:color w:val="000000"/>
        </w:rPr>
        <w:t xml:space="preserve">In order to determine the sampling procedure and </w:t>
      </w:r>
      <w:r w:rsidR="00603ECE" w:rsidRPr="00043589">
        <w:rPr>
          <w:color w:val="000000"/>
        </w:rPr>
        <w:t>find sampling locations</w:t>
      </w:r>
      <w:r w:rsidR="00F97FD7" w:rsidRPr="00043589">
        <w:rPr>
          <w:color w:val="000000"/>
        </w:rPr>
        <w:t xml:space="preserve"> for this research</w:t>
      </w:r>
      <w:r w:rsidRPr="00043589">
        <w:rPr>
          <w:color w:val="000000"/>
        </w:rPr>
        <w:t>,</w:t>
      </w:r>
      <w:r w:rsidR="009D7EF0" w:rsidRPr="00043589">
        <w:t xml:space="preserve"> areas of interest</w:t>
      </w:r>
      <w:r w:rsidR="00F97FD7" w:rsidRPr="00043589">
        <w:t xml:space="preserve"> in terms of hazelnut production known</w:t>
      </w:r>
      <w:r w:rsidR="009D7EF0" w:rsidRPr="00043589">
        <w:t xml:space="preserve"> to</w:t>
      </w:r>
      <w:r w:rsidRPr="00043589">
        <w:t xml:space="preserve"> USFS</w:t>
      </w:r>
      <w:r w:rsidR="009D7EF0" w:rsidRPr="00043589">
        <w:t xml:space="preserve"> </w:t>
      </w:r>
      <w:r w:rsidRPr="00043589">
        <w:t xml:space="preserve">employees, areas targeted by tribal land management </w:t>
      </w:r>
      <w:r w:rsidR="00603ECE" w:rsidRPr="00043589">
        <w:t xml:space="preserve">entities </w:t>
      </w:r>
      <w:r w:rsidRPr="00043589">
        <w:t>for burning,</w:t>
      </w:r>
      <w:r w:rsidR="009D7EF0" w:rsidRPr="00043589">
        <w:t xml:space="preserve"> and</w:t>
      </w:r>
      <w:r w:rsidRPr="00043589">
        <w:t xml:space="preserve"> locations known to</w:t>
      </w:r>
      <w:r w:rsidR="009D7EF0" w:rsidRPr="00043589">
        <w:t xml:space="preserve"> tribal harvesters where </w:t>
      </w:r>
      <w:r w:rsidR="00F6740E" w:rsidRPr="00043589">
        <w:t>California h</w:t>
      </w:r>
      <w:r w:rsidR="009D7EF0" w:rsidRPr="00043589">
        <w:t>azelnuts grew or were managed for their stems were identified and marke</w:t>
      </w:r>
      <w:r w:rsidR="00603ECE" w:rsidRPr="00043589">
        <w:t>d by GPS</w:t>
      </w:r>
      <w:r w:rsidR="009D7EF0" w:rsidRPr="00043589">
        <w:t xml:space="preserve">. </w:t>
      </w:r>
      <w:r w:rsidR="00AA763D" w:rsidRPr="00043589">
        <w:t>Locations were also explored</w:t>
      </w:r>
      <w:r w:rsidR="009D7EF0" w:rsidRPr="00043589">
        <w:t xml:space="preserve"> that were not previously identified but where burns</w:t>
      </w:r>
      <w:r w:rsidRPr="00043589">
        <w:t xml:space="preserve"> created by wildfires</w:t>
      </w:r>
      <w:r w:rsidR="009D7EF0" w:rsidRPr="00043589">
        <w:t xml:space="preserve"> were known to have occurred or had the potential to occur.</w:t>
      </w:r>
      <w:r w:rsidRPr="00043589">
        <w:t xml:space="preserve"> </w:t>
      </w:r>
      <w:r w:rsidR="009D7EF0" w:rsidRPr="00043589">
        <w:t>Once a range of investigative locations had been identified, 100 m</w:t>
      </w:r>
      <w:r w:rsidR="009D7EF0" w:rsidRPr="00043589">
        <w:rPr>
          <w:vertAlign w:val="superscript"/>
        </w:rPr>
        <w:t>2</w:t>
      </w:r>
      <w:r w:rsidR="009D7EF0" w:rsidRPr="00043589">
        <w:t xml:space="preserve"> </w:t>
      </w:r>
      <w:r w:rsidR="00F97FD7" w:rsidRPr="00043589">
        <w:t>sampling</w:t>
      </w:r>
      <w:r w:rsidR="009D7EF0" w:rsidRPr="00043589">
        <w:t xml:space="preserve"> </w:t>
      </w:r>
      <w:r w:rsidR="00F97FD7" w:rsidRPr="00043589">
        <w:t>units</w:t>
      </w:r>
      <w:r w:rsidR="009D7EF0" w:rsidRPr="00043589">
        <w:t xml:space="preserve"> were established </w:t>
      </w:r>
      <w:r w:rsidR="00F97FD7" w:rsidRPr="00043589">
        <w:t>by randomly marking 10m by 10m square plots</w:t>
      </w:r>
      <w:r w:rsidR="00053B6E" w:rsidRPr="00043589">
        <w:t xml:space="preserve"> occupied by hazelnuts </w:t>
      </w:r>
      <w:r w:rsidR="00663804" w:rsidRPr="00043589">
        <w:t>covering</w:t>
      </w:r>
      <w:r w:rsidR="00053B6E" w:rsidRPr="00043589">
        <w:t xml:space="preserve"> over 30%</w:t>
      </w:r>
      <w:r w:rsidR="00091F68" w:rsidRPr="00043589">
        <w:t xml:space="preserve"> of the</w:t>
      </w:r>
      <w:r w:rsidR="00053B6E" w:rsidRPr="00043589">
        <w:t xml:space="preserve"> ground</w:t>
      </w:r>
      <w:r w:rsidR="009D7EF0" w:rsidRPr="00043589">
        <w:t>.</w:t>
      </w:r>
      <w:r w:rsidR="00511059" w:rsidRPr="00043589">
        <w:t xml:space="preserve"> This was done because in order for the research to be of interest to tribal harvesters, nut productivity needed to be analyzed within a context of reasonable stand density, as harvesters would probably not seek out an individual California hazelnut shrub in a wildland area.</w:t>
      </w:r>
      <w:r w:rsidR="00FD2A0F" w:rsidRPr="00043589">
        <w:t xml:space="preserve"> </w:t>
      </w:r>
      <w:r w:rsidR="009D7EF0" w:rsidRPr="00043589">
        <w:t>The plots were always established at least 5-10 meters away from the road</w:t>
      </w:r>
      <w:r w:rsidR="00053B6E" w:rsidRPr="00043589">
        <w:t xml:space="preserve"> to prevent roadside canopy characteristics from unduly affecting the sampled solar access measurement.</w:t>
      </w:r>
    </w:p>
    <w:p w14:paraId="4BEF1F9C" w14:textId="77777777" w:rsidR="00B670FF" w:rsidRPr="00043589" w:rsidRDefault="009D7EF0" w:rsidP="00663804">
      <w:pPr>
        <w:spacing w:line="480" w:lineRule="auto"/>
        <w:ind w:firstLine="720"/>
      </w:pPr>
      <w:r w:rsidRPr="00043589">
        <w:t xml:space="preserve">Biophysical characteristics of the sites were described from existing soil maps, fire maps from the Cal Fire database, </w:t>
      </w:r>
      <w:r w:rsidR="00663804" w:rsidRPr="00043589">
        <w:t xml:space="preserve">USFS </w:t>
      </w:r>
      <w:r w:rsidRPr="00043589">
        <w:t xml:space="preserve">forest management </w:t>
      </w:r>
      <w:r w:rsidR="00663804" w:rsidRPr="00043589">
        <w:t>logging records</w:t>
      </w:r>
      <w:r w:rsidRPr="00043589">
        <w:t xml:space="preserve">, </w:t>
      </w:r>
      <w:r w:rsidR="00BA38DF" w:rsidRPr="00043589">
        <w:t xml:space="preserve">and </w:t>
      </w:r>
      <w:r w:rsidRPr="00043589">
        <w:t xml:space="preserve">general location near roads or other features. Slope was measured using a clinometer and aspect using a compass. Percent solar access </w:t>
      </w:r>
      <w:r w:rsidR="00BA38DF" w:rsidRPr="00043589">
        <w:t xml:space="preserve">over a year </w:t>
      </w:r>
      <w:r w:rsidRPr="00043589">
        <w:t xml:space="preserve">was measured at each shrub within a plot using a SunEye-2010. The stem diameter of the largest stem within each plant was measured using a digital caliper. The number of stems and nuts on each plant were individually counted by the researchers. Precipitation data was gathered from </w:t>
      </w:r>
      <w:r w:rsidR="00F60C58" w:rsidRPr="00043589">
        <w:t>Remote Automated Weather Stations</w:t>
      </w:r>
      <w:r w:rsidRPr="00043589">
        <w:t xml:space="preserve"> monitoring </w:t>
      </w:r>
      <w:r w:rsidR="00F60C58" w:rsidRPr="00043589">
        <w:t xml:space="preserve">areas </w:t>
      </w:r>
      <w:r w:rsidRPr="00043589">
        <w:t xml:space="preserve">closest to </w:t>
      </w:r>
      <w:r w:rsidR="00F60C58" w:rsidRPr="00043589">
        <w:t xml:space="preserve">sampling </w:t>
      </w:r>
      <w:r w:rsidRPr="00043589">
        <w:t>plots.</w:t>
      </w:r>
      <w:r w:rsidR="00D118D2" w:rsidRPr="00043589">
        <w:t xml:space="preserve"> Elevation and GPS location were found using </w:t>
      </w:r>
      <w:r w:rsidR="00AA763D" w:rsidRPr="00043589">
        <w:t>Garmin eTrex 30 devices.</w:t>
      </w:r>
      <w:r w:rsidR="00E0364D" w:rsidRPr="00043589">
        <w:t xml:space="preserve"> The fire effect data we chose to gather was time since last fire (TSLF)</w:t>
      </w:r>
      <w:r w:rsidR="009A7FB4" w:rsidRPr="00043589">
        <w:t>,</w:t>
      </w:r>
      <w:r w:rsidR="00603ECE" w:rsidRPr="00043589">
        <w:t xml:space="preserve"> found </w:t>
      </w:r>
      <w:r w:rsidR="00F60C58" w:rsidRPr="00043589">
        <w:t>by</w:t>
      </w:r>
      <w:r w:rsidR="00AA763D" w:rsidRPr="00043589">
        <w:t xml:space="preserve"> </w:t>
      </w:r>
      <w:r w:rsidR="00AA763D" w:rsidRPr="00043589">
        <w:lastRenderedPageBreak/>
        <w:t>locating</w:t>
      </w:r>
      <w:r w:rsidR="00F60C58" w:rsidRPr="00043589">
        <w:t xml:space="preserve"> our GPS points within CalFire wildfire or </w:t>
      </w:r>
      <w:r w:rsidR="009A7FB4" w:rsidRPr="00043589">
        <w:t xml:space="preserve">CalFire </w:t>
      </w:r>
      <w:r w:rsidR="00F60C58" w:rsidRPr="00043589">
        <w:t xml:space="preserve">controlled burn </w:t>
      </w:r>
      <w:r w:rsidR="00AA763D" w:rsidRPr="00043589">
        <w:t>maps</w:t>
      </w:r>
      <w:r w:rsidR="00F60C58" w:rsidRPr="00043589">
        <w:t xml:space="preserve"> in ArcGIS.</w:t>
      </w:r>
      <w:r w:rsidR="00E0364D" w:rsidRPr="00043589">
        <w:t xml:space="preserve"> TSLF </w:t>
      </w:r>
      <w:r w:rsidR="00F60C58" w:rsidRPr="00043589">
        <w:t>is the</w:t>
      </w:r>
      <w:r w:rsidR="00E0364D" w:rsidRPr="00043589">
        <w:t xml:space="preserve"> only variable</w:t>
      </w:r>
      <w:r w:rsidR="00AA763D" w:rsidRPr="00043589">
        <w:t xml:space="preserve"> used</w:t>
      </w:r>
      <w:r w:rsidR="00E0364D" w:rsidRPr="00043589">
        <w:t xml:space="preserve"> </w:t>
      </w:r>
      <w:r w:rsidR="00AA763D" w:rsidRPr="00043589">
        <w:t>to</w:t>
      </w:r>
      <w:r w:rsidR="00F60C58" w:rsidRPr="00043589">
        <w:t xml:space="preserve"> understanding fire effects</w:t>
      </w:r>
      <w:r w:rsidR="00E0364D" w:rsidRPr="00043589">
        <w:t xml:space="preserve"> </w:t>
      </w:r>
      <w:r w:rsidR="00F60C58" w:rsidRPr="00043589">
        <w:t xml:space="preserve">within the </w:t>
      </w:r>
      <w:r w:rsidR="00AA763D" w:rsidRPr="00043589">
        <w:t>project</w:t>
      </w:r>
      <w:r w:rsidR="00B670FF" w:rsidRPr="00043589">
        <w:t xml:space="preserve">. </w:t>
      </w:r>
    </w:p>
    <w:p w14:paraId="2A2AC1CD" w14:textId="5FB5651F" w:rsidR="009D7EF0" w:rsidRPr="00043589" w:rsidRDefault="00E0364D" w:rsidP="00663804">
      <w:pPr>
        <w:spacing w:line="480" w:lineRule="auto"/>
        <w:ind w:firstLine="720"/>
      </w:pPr>
      <w:r w:rsidRPr="00043589">
        <w:t xml:space="preserve">TSLF and fire severity are main drivers of </w:t>
      </w:r>
      <w:r w:rsidR="00894011" w:rsidRPr="00043589">
        <w:t>disturbance characteristics of sites</w:t>
      </w:r>
      <w:r w:rsidRPr="00043589">
        <w:t xml:space="preserve">. Fire severity was excluded </w:t>
      </w:r>
      <w:r w:rsidR="00603ECE" w:rsidRPr="00043589">
        <w:t xml:space="preserve">due </w:t>
      </w:r>
      <w:r w:rsidRPr="00043589">
        <w:t xml:space="preserve">to </w:t>
      </w:r>
      <w:r w:rsidR="00B670FF" w:rsidRPr="00043589">
        <w:t xml:space="preserve">the difficult nature of measuring it </w:t>
      </w:r>
      <w:r w:rsidRPr="00043589">
        <w:t>accurately and because controlled fires and wildfires</w:t>
      </w:r>
      <w:r w:rsidR="00B670FF" w:rsidRPr="00043589">
        <w:t xml:space="preserve"> were grouped</w:t>
      </w:r>
      <w:r w:rsidRPr="00043589">
        <w:t xml:space="preserve"> together</w:t>
      </w:r>
      <w:r w:rsidR="00511059" w:rsidRPr="00043589">
        <w:t>.</w:t>
      </w:r>
      <w:r w:rsidR="00B670FF" w:rsidRPr="00043589">
        <w:t xml:space="preserve"> </w:t>
      </w:r>
      <w:r w:rsidR="00511059" w:rsidRPr="00043589">
        <w:t>C</w:t>
      </w:r>
      <w:r w:rsidR="00B670FF" w:rsidRPr="00043589">
        <w:t>ontrolled fires are typically less intense than wildfires</w:t>
      </w:r>
      <w:r w:rsidRPr="00043589">
        <w:t xml:space="preserve">. </w:t>
      </w:r>
      <w:r w:rsidR="00603ECE" w:rsidRPr="00043589">
        <w:t>Fire return intervals (</w:t>
      </w:r>
      <w:r w:rsidRPr="00043589">
        <w:t>FRI</w:t>
      </w:r>
      <w:r w:rsidR="00603ECE" w:rsidRPr="00043589">
        <w:t>)</w:t>
      </w:r>
      <w:r w:rsidRPr="00043589">
        <w:t xml:space="preserve"> </w:t>
      </w:r>
      <w:r w:rsidR="00603ECE" w:rsidRPr="00043589">
        <w:t>are</w:t>
      </w:r>
      <w:r w:rsidRPr="00043589">
        <w:t xml:space="preserve"> </w:t>
      </w:r>
      <w:r w:rsidR="00B670FF" w:rsidRPr="00043589">
        <w:t xml:space="preserve">another </w:t>
      </w:r>
      <w:r w:rsidRPr="00043589">
        <w:t xml:space="preserve">important </w:t>
      </w:r>
      <w:r w:rsidR="00B670FF" w:rsidRPr="00043589">
        <w:t xml:space="preserve">fire metric that was excluded from this study. FRIs can be important factors in </w:t>
      </w:r>
      <w:r w:rsidRPr="00043589">
        <w:t>determining plant species abundance</w:t>
      </w:r>
      <w:r w:rsidR="00603ECE" w:rsidRPr="00043589">
        <w:t xml:space="preserve"> in the successional periods following a fire</w:t>
      </w:r>
      <w:r w:rsidR="00B670FF" w:rsidRPr="00043589">
        <w:t>.</w:t>
      </w:r>
      <w:r w:rsidRPr="00043589">
        <w:t xml:space="preserve"> </w:t>
      </w:r>
      <w:r w:rsidR="00B670FF" w:rsidRPr="00043589">
        <w:t>F</w:t>
      </w:r>
      <w:r w:rsidR="00603ECE" w:rsidRPr="00043589">
        <w:t>uture studies</w:t>
      </w:r>
      <w:r w:rsidRPr="00043589">
        <w:t xml:space="preserve"> need to be conducted </w:t>
      </w:r>
      <w:r w:rsidR="00603ECE" w:rsidRPr="00043589">
        <w:t xml:space="preserve">with these variables accounted for, </w:t>
      </w:r>
      <w:r w:rsidRPr="00043589">
        <w:t xml:space="preserve">but in the context of a </w:t>
      </w:r>
      <w:r w:rsidR="00603ECE" w:rsidRPr="00043589">
        <w:t xml:space="preserve">landscape that had been </w:t>
      </w:r>
      <w:r w:rsidR="00511059" w:rsidRPr="00043589">
        <w:t>highly</w:t>
      </w:r>
      <w:r w:rsidR="00603ECE" w:rsidRPr="00043589">
        <w:t xml:space="preserve"> fire excluded for the better part of a century it was</w:t>
      </w:r>
      <w:r w:rsidR="00F60C58" w:rsidRPr="00043589">
        <w:t xml:space="preserve"> the</w:t>
      </w:r>
      <w:r w:rsidRPr="00043589">
        <w:t xml:space="preserve"> best estimation procedure </w:t>
      </w:r>
      <w:r w:rsidR="00603ECE" w:rsidRPr="00043589">
        <w:t>possible at the time</w:t>
      </w:r>
      <w:r w:rsidRPr="00043589">
        <w:t>.</w:t>
      </w:r>
    </w:p>
    <w:p w14:paraId="15630E14" w14:textId="29A27AD2" w:rsidR="009350B0" w:rsidRPr="00043589" w:rsidRDefault="00F60C58" w:rsidP="00F60C58">
      <w:pPr>
        <w:spacing w:line="480" w:lineRule="auto"/>
        <w:ind w:firstLine="720"/>
      </w:pPr>
      <w:r w:rsidRPr="00043589">
        <w:t>The variables we measured were chosen along with TS</w:t>
      </w:r>
      <w:r w:rsidR="00091F68" w:rsidRPr="00043589">
        <w:t>L</w:t>
      </w:r>
      <w:r w:rsidRPr="00043589">
        <w:t xml:space="preserve">F due to their </w:t>
      </w:r>
      <w:r w:rsidR="008A050C" w:rsidRPr="00043589">
        <w:t>hypothesized correlation</w:t>
      </w:r>
      <w:r w:rsidRPr="00043589">
        <w:t xml:space="preserve"> with nut production. </w:t>
      </w:r>
      <w:r w:rsidR="009D7EF0" w:rsidRPr="00043589">
        <w:t xml:space="preserve">Based on </w:t>
      </w:r>
      <w:r w:rsidR="00D218B0" w:rsidRPr="00043589">
        <w:t>the</w:t>
      </w:r>
      <w:r w:rsidR="009D7EF0" w:rsidRPr="00043589">
        <w:t xml:space="preserve"> biology</w:t>
      </w:r>
      <w:r w:rsidR="00D218B0" w:rsidRPr="00043589">
        <w:t xml:space="preserve"> of nut producing plants in general</w:t>
      </w:r>
      <w:r w:rsidR="009D7EF0" w:rsidRPr="00043589">
        <w:t xml:space="preserve">, the </w:t>
      </w:r>
      <w:r w:rsidR="00BA38DF" w:rsidRPr="00043589">
        <w:t>number</w:t>
      </w:r>
      <w:r w:rsidR="009D7EF0" w:rsidRPr="00043589">
        <w:t xml:space="preserve"> of nuts produced by a </w:t>
      </w:r>
      <w:r w:rsidR="00D218B0" w:rsidRPr="00043589">
        <w:t xml:space="preserve">hazelnut </w:t>
      </w:r>
      <w:r w:rsidR="009D7EF0" w:rsidRPr="00043589">
        <w:t xml:space="preserve">would </w:t>
      </w:r>
      <w:r w:rsidR="00D218B0" w:rsidRPr="00043589">
        <w:t xml:space="preserve">depend on </w:t>
      </w:r>
      <w:r w:rsidR="009D7EF0" w:rsidRPr="00043589">
        <w:t>the amount of nutrients transferred to the branch</w:t>
      </w:r>
      <w:r w:rsidR="00D218B0" w:rsidRPr="00043589">
        <w:t>es</w:t>
      </w:r>
      <w:r w:rsidR="009D7EF0" w:rsidRPr="00043589">
        <w:t xml:space="preserve"> growing the nuts</w:t>
      </w:r>
      <w:r w:rsidR="00945745" w:rsidRPr="00043589">
        <w:t>.</w:t>
      </w:r>
      <w:r w:rsidR="009D7EF0" w:rsidRPr="00043589">
        <w:t xml:space="preserve"> </w:t>
      </w:r>
      <w:r w:rsidR="00945745" w:rsidRPr="00043589">
        <w:t>The action of transferring the nutrients would be done by</w:t>
      </w:r>
      <w:r w:rsidR="001F28C9" w:rsidRPr="00043589">
        <w:t xml:space="preserve"> the</w:t>
      </w:r>
      <w:r w:rsidR="00945745" w:rsidRPr="00043589">
        <w:t xml:space="preserve"> stems, and the volume of nutrients able to be transferred would be determined</w:t>
      </w:r>
      <w:r w:rsidR="009D7EF0" w:rsidRPr="00043589">
        <w:t xml:space="preserve"> by stem thickness</w:t>
      </w:r>
      <w:r w:rsidR="00BA38DF" w:rsidRPr="00043589">
        <w:t xml:space="preserve">. Sunlight </w:t>
      </w:r>
      <w:r w:rsidR="00945745" w:rsidRPr="00043589">
        <w:t>and soil nutrient composition would then</w:t>
      </w:r>
      <w:r w:rsidR="00BA38DF" w:rsidRPr="00043589">
        <w:t xml:space="preserve"> </w:t>
      </w:r>
      <w:r w:rsidR="00945745" w:rsidRPr="00043589">
        <w:t xml:space="preserve">determine the availability of nutrients </w:t>
      </w:r>
      <w:r w:rsidR="00B670FF" w:rsidRPr="00043589">
        <w:t>for the stems to distribute</w:t>
      </w:r>
      <w:r w:rsidR="00BA38DF" w:rsidRPr="00043589">
        <w:t xml:space="preserve">, </w:t>
      </w:r>
      <w:r w:rsidR="00B670FF" w:rsidRPr="00043589">
        <w:t xml:space="preserve">thus </w:t>
      </w:r>
      <w:r w:rsidR="00BA38DF" w:rsidRPr="00043589">
        <w:t xml:space="preserve">allowing the </w:t>
      </w:r>
      <w:r w:rsidR="00B670FF" w:rsidRPr="00043589">
        <w:t>California hazelnut shrub</w:t>
      </w:r>
      <w:r w:rsidR="00BA38DF" w:rsidRPr="00043589">
        <w:t xml:space="preserve"> to generate</w:t>
      </w:r>
      <w:r w:rsidR="00945745" w:rsidRPr="00043589">
        <w:t xml:space="preserve"> the</w:t>
      </w:r>
      <w:r w:rsidR="00BA38DF" w:rsidRPr="00043589">
        <w:t xml:space="preserve"> energy</w:t>
      </w:r>
      <w:r w:rsidR="00945745" w:rsidRPr="00043589">
        <w:t xml:space="preserve"> and biomass</w:t>
      </w:r>
      <w:r w:rsidR="00BA38DF" w:rsidRPr="00043589">
        <w:t xml:space="preserve"> stored within the nuts. </w:t>
      </w:r>
      <w:r w:rsidR="009D7EF0" w:rsidRPr="00043589">
        <w:t>In</w:t>
      </w:r>
      <w:r w:rsidR="00BA38DF" w:rsidRPr="00043589">
        <w:t xml:space="preserve"> </w:t>
      </w:r>
      <w:r w:rsidR="009D7EF0" w:rsidRPr="00043589">
        <w:t xml:space="preserve">addition, each </w:t>
      </w:r>
      <w:r w:rsidR="00B670FF" w:rsidRPr="00043589">
        <w:t xml:space="preserve">California hazelnut </w:t>
      </w:r>
      <w:r w:rsidR="009D7EF0" w:rsidRPr="00043589">
        <w:t xml:space="preserve">shrub is affected </w:t>
      </w:r>
      <w:r w:rsidR="00D218B0" w:rsidRPr="00043589">
        <w:t xml:space="preserve">by a </w:t>
      </w:r>
      <w:r w:rsidR="00F91B1F" w:rsidRPr="00043589">
        <w:t>surrounding</w:t>
      </w:r>
      <w:r w:rsidR="00D218B0" w:rsidRPr="00043589">
        <w:t xml:space="preserve"> biological</w:t>
      </w:r>
      <w:r w:rsidR="00F91B1F" w:rsidRPr="00043589">
        <w:t xml:space="preserve"> community </w:t>
      </w:r>
      <w:r w:rsidR="009D7EF0" w:rsidRPr="00043589">
        <w:t>characteri</w:t>
      </w:r>
      <w:r w:rsidR="00D218B0" w:rsidRPr="00043589">
        <w:t>zed by surrounding pests and plant competitors</w:t>
      </w:r>
      <w:r w:rsidR="00D118D2" w:rsidRPr="00043589">
        <w:t>.</w:t>
      </w:r>
      <w:r w:rsidR="009D7EF0" w:rsidRPr="00043589">
        <w:t xml:space="preserve"> </w:t>
      </w:r>
      <w:r w:rsidR="00D118D2" w:rsidRPr="00043589">
        <w:t>All these factors</w:t>
      </w:r>
      <w:r w:rsidR="00F6740E" w:rsidRPr="00043589">
        <w:t xml:space="preserve"> </w:t>
      </w:r>
      <w:r w:rsidR="00D118D2" w:rsidRPr="00043589">
        <w:t>are</w:t>
      </w:r>
      <w:r w:rsidR="009D7EF0" w:rsidRPr="00043589">
        <w:t xml:space="preserve"> </w:t>
      </w:r>
      <w:r w:rsidR="00F6740E" w:rsidRPr="00043589">
        <w:t>in some way effected</w:t>
      </w:r>
      <w:r w:rsidR="009D7EF0" w:rsidRPr="00043589">
        <w:t xml:space="preserve"> by the disturbance regime </w:t>
      </w:r>
      <w:r w:rsidR="00D118D2" w:rsidRPr="00043589">
        <w:t xml:space="preserve">the California </w:t>
      </w:r>
      <w:r w:rsidR="002D351A">
        <w:t>h</w:t>
      </w:r>
      <w:r w:rsidR="00D118D2" w:rsidRPr="00043589">
        <w:t>azelnut</w:t>
      </w:r>
      <w:r w:rsidR="009D7EF0" w:rsidRPr="00043589">
        <w:t xml:space="preserve"> experiences. </w:t>
      </w:r>
      <w:r w:rsidR="00894011" w:rsidRPr="00043589">
        <w:t>Various interactive variables were included in tested regression models.</w:t>
      </w:r>
    </w:p>
    <w:p w14:paraId="3ABE3806" w14:textId="5B6A94BE" w:rsidR="00AA763D" w:rsidRPr="00043589" w:rsidRDefault="00512E3C" w:rsidP="00AA763D">
      <w:pPr>
        <w:spacing w:line="480" w:lineRule="auto"/>
        <w:ind w:firstLine="720"/>
      </w:pPr>
      <w:r w:rsidRPr="00043589">
        <w:t>A</w:t>
      </w:r>
      <w:r w:rsidR="008D6B4A" w:rsidRPr="00043589">
        <w:t xml:space="preserve"> negative-binomia</w:t>
      </w:r>
      <w:r w:rsidR="00256452" w:rsidRPr="00043589">
        <w:t>l</w:t>
      </w:r>
      <w:r w:rsidR="008D6B4A" w:rsidRPr="00043589">
        <w:t xml:space="preserve"> genera</w:t>
      </w:r>
      <w:r w:rsidR="00256452" w:rsidRPr="00043589">
        <w:t>l</w:t>
      </w:r>
      <w:r w:rsidR="008D6B4A" w:rsidRPr="00043589">
        <w:t xml:space="preserve">ized </w:t>
      </w:r>
      <w:r w:rsidR="00256452" w:rsidRPr="00043589">
        <w:t>l</w:t>
      </w:r>
      <w:r w:rsidR="008D6B4A" w:rsidRPr="00043589">
        <w:t>inear mixed mode</w:t>
      </w:r>
      <w:r w:rsidR="00256452" w:rsidRPr="00043589">
        <w:t>l</w:t>
      </w:r>
      <w:r w:rsidR="008D6B4A" w:rsidRPr="00043589">
        <w:t xml:space="preserve"> (GLMM) </w:t>
      </w:r>
      <w:r w:rsidRPr="00043589">
        <w:t>was created utilizing R statisti</w:t>
      </w:r>
      <w:r w:rsidR="00B46BB0" w:rsidRPr="00043589">
        <w:t>cal software</w:t>
      </w:r>
      <w:r w:rsidRPr="00043589">
        <w:t xml:space="preserve"> </w:t>
      </w:r>
      <w:r w:rsidR="00B32ED0" w:rsidRPr="00043589">
        <w:t>in order to determine the effect of TSLF</w:t>
      </w:r>
      <w:r w:rsidR="00B670FF" w:rsidRPr="00043589">
        <w:t xml:space="preserve"> has</w:t>
      </w:r>
      <w:r w:rsidR="00B32ED0" w:rsidRPr="00043589">
        <w:t xml:space="preserve"> on California hazelnut nut </w:t>
      </w:r>
      <w:r w:rsidR="00B32ED0" w:rsidRPr="00043589">
        <w:lastRenderedPageBreak/>
        <w:t xml:space="preserve">production. This model was chosen </w:t>
      </w:r>
      <w:r w:rsidRPr="00043589">
        <w:t xml:space="preserve">in order </w:t>
      </w:r>
      <w:r w:rsidR="00B46BB0" w:rsidRPr="00043589">
        <w:t>to account for the random effect plot</w:t>
      </w:r>
      <w:r w:rsidR="00B32ED0" w:rsidRPr="00043589">
        <w:t>s</w:t>
      </w:r>
      <w:r w:rsidR="00EB6D41" w:rsidRPr="00043589">
        <w:t xml:space="preserve"> in which the individual California hazelnut </w:t>
      </w:r>
      <w:r w:rsidR="00511059" w:rsidRPr="00043589">
        <w:t>shrubs</w:t>
      </w:r>
      <w:r w:rsidR="00EB6D41" w:rsidRPr="00043589">
        <w:t xml:space="preserve"> w</w:t>
      </w:r>
      <w:r w:rsidR="00511059" w:rsidRPr="00043589">
        <w:t>ere</w:t>
      </w:r>
      <w:r w:rsidR="00EB6D41" w:rsidRPr="00043589">
        <w:t xml:space="preserve"> sampled </w:t>
      </w:r>
      <w:r w:rsidR="00B32ED0" w:rsidRPr="00043589">
        <w:t>could have on nut productivity</w:t>
      </w:r>
      <w:r w:rsidR="002E3546" w:rsidRPr="00043589">
        <w:t>.</w:t>
      </w:r>
      <w:r w:rsidR="007714FD" w:rsidRPr="00043589">
        <w:t xml:space="preserve"> Aspect, </w:t>
      </w:r>
      <w:r w:rsidR="00570035" w:rsidRPr="00043589">
        <w:t xml:space="preserve">precipitation, </w:t>
      </w:r>
      <w:r w:rsidR="007714FD" w:rsidRPr="00043589">
        <w:t>slope,</w:t>
      </w:r>
      <w:r w:rsidR="0095551C" w:rsidRPr="00043589">
        <w:t xml:space="preserve"> </w:t>
      </w:r>
      <w:r w:rsidR="007714FD" w:rsidRPr="00043589">
        <w:t>elevation</w:t>
      </w:r>
      <w:r w:rsidR="0095551C" w:rsidRPr="00043589">
        <w:t>, solar</w:t>
      </w:r>
      <w:r w:rsidR="007714FD" w:rsidRPr="00043589">
        <w:t xml:space="preserve"> access, s</w:t>
      </w:r>
      <w:r w:rsidR="00B05E78" w:rsidRPr="00043589">
        <w:t>tem diameter</w:t>
      </w:r>
      <w:r w:rsidR="007714FD" w:rsidRPr="00043589">
        <w:t>,</w:t>
      </w:r>
      <w:r w:rsidR="00B05E78" w:rsidRPr="00043589">
        <w:t xml:space="preserve"> </w:t>
      </w:r>
      <w:r w:rsidR="00A55F05" w:rsidRPr="00043589">
        <w:t xml:space="preserve">and total stems </w:t>
      </w:r>
      <w:r w:rsidR="008D6B4A" w:rsidRPr="00043589">
        <w:t>w</w:t>
      </w:r>
      <w:r w:rsidR="00A55F05" w:rsidRPr="00043589">
        <w:t>ere</w:t>
      </w:r>
      <w:r w:rsidR="00431D09" w:rsidRPr="00043589">
        <w:t xml:space="preserve"> </w:t>
      </w:r>
      <w:r w:rsidR="00570035" w:rsidRPr="00043589">
        <w:t>included in models as covariate fixed effects</w:t>
      </w:r>
      <w:r w:rsidR="008D6B4A" w:rsidRPr="00043589">
        <w:t xml:space="preserve"> </w:t>
      </w:r>
      <w:r w:rsidR="00B32ED0" w:rsidRPr="00043589">
        <w:t>due to</w:t>
      </w:r>
      <w:r w:rsidR="008D6B4A" w:rsidRPr="00043589">
        <w:t xml:space="preserve"> </w:t>
      </w:r>
      <w:r w:rsidR="00A55F05" w:rsidRPr="00043589">
        <w:t>the</w:t>
      </w:r>
      <w:r w:rsidR="00B32ED0" w:rsidRPr="00043589">
        <w:t xml:space="preserve">ir hypothesized effect </w:t>
      </w:r>
      <w:r w:rsidR="0095551C" w:rsidRPr="00043589">
        <w:t xml:space="preserve">in </w:t>
      </w:r>
      <w:r w:rsidR="00431D09" w:rsidRPr="00043589">
        <w:t>nut production</w:t>
      </w:r>
      <w:r w:rsidR="0095551C" w:rsidRPr="00043589">
        <w:t xml:space="preserve">. </w:t>
      </w:r>
      <w:r w:rsidR="00FD34E5" w:rsidRPr="00043589">
        <w:t xml:space="preserve">TSLF was </w:t>
      </w:r>
      <w:r w:rsidR="00F736B8" w:rsidRPr="00043589">
        <w:t xml:space="preserve">separated into categories </w:t>
      </w:r>
      <w:r w:rsidR="00FD34E5" w:rsidRPr="00043589">
        <w:t xml:space="preserve">to </w:t>
      </w:r>
      <w:r w:rsidR="008D6B4A" w:rsidRPr="00043589">
        <w:t>ana</w:t>
      </w:r>
      <w:r w:rsidR="00FD34E5" w:rsidRPr="00043589">
        <w:t>l</w:t>
      </w:r>
      <w:r w:rsidR="008D6B4A" w:rsidRPr="00043589">
        <w:t>yze</w:t>
      </w:r>
      <w:r w:rsidR="00F736B8" w:rsidRPr="00043589">
        <w:t xml:space="preserve"> </w:t>
      </w:r>
      <w:r w:rsidR="00FD34E5" w:rsidRPr="00043589">
        <w:t>differences</w:t>
      </w:r>
      <w:r w:rsidR="008D6B4A" w:rsidRPr="00043589">
        <w:t xml:space="preserve"> </w:t>
      </w:r>
      <w:r w:rsidR="00F736B8" w:rsidRPr="00043589">
        <w:t>in nut production patterns</w:t>
      </w:r>
      <w:r w:rsidR="00A55F05" w:rsidRPr="00043589">
        <w:t xml:space="preserve"> across different levels of </w:t>
      </w:r>
      <w:r w:rsidR="00B32ED0" w:rsidRPr="00043589">
        <w:t xml:space="preserve">these </w:t>
      </w:r>
      <w:r w:rsidR="007714FD" w:rsidRPr="00043589">
        <w:t xml:space="preserve">explanatory variables </w:t>
      </w:r>
      <w:r w:rsidR="008D6B4A" w:rsidRPr="00043589">
        <w:t>in the GLMM</w:t>
      </w:r>
      <w:r w:rsidR="00F736B8" w:rsidRPr="00043589">
        <w:t>.</w:t>
      </w:r>
      <w:r w:rsidR="008D6B4A" w:rsidRPr="00043589">
        <w:t xml:space="preserve"> </w:t>
      </w:r>
      <w:r w:rsidR="00B670FF" w:rsidRPr="00043589">
        <w:t xml:space="preserve">TSLF was treated as a categorical variable because TSLF is a proxy for different periods of succession the California hazelnuts are experiencing in response to a specific disturbance event. </w:t>
      </w:r>
      <w:r w:rsidR="00B32ED0" w:rsidRPr="00043589">
        <w:t>Combined</w:t>
      </w:r>
      <w:r w:rsidR="00F736B8" w:rsidRPr="00043589">
        <w:t xml:space="preserve"> categories</w:t>
      </w:r>
      <w:r w:rsidR="00B670FF" w:rsidRPr="00043589">
        <w:t xml:space="preserve"> for TSLF</w:t>
      </w:r>
      <w:r w:rsidR="00B32ED0" w:rsidRPr="00043589">
        <w:t xml:space="preserve"> were generated</w:t>
      </w:r>
      <w:r w:rsidR="00F736B8" w:rsidRPr="00043589">
        <w:t xml:space="preserve"> </w:t>
      </w:r>
      <w:r w:rsidR="00946785" w:rsidRPr="00043589">
        <w:t xml:space="preserve">from </w:t>
      </w:r>
      <w:r w:rsidR="00F736B8" w:rsidRPr="00043589">
        <w:t>general age groups</w:t>
      </w:r>
      <w:r w:rsidR="00946785" w:rsidRPr="00043589">
        <w:t xml:space="preserve"> ranging from 3-</w:t>
      </w:r>
      <w:r w:rsidR="008D1E90" w:rsidRPr="00043589">
        <w:t>7</w:t>
      </w:r>
      <w:r w:rsidR="00B670FF" w:rsidRPr="00043589">
        <w:t xml:space="preserve"> years since last fire</w:t>
      </w:r>
      <w:r w:rsidR="00946785" w:rsidRPr="00043589">
        <w:t xml:space="preserve">, </w:t>
      </w:r>
      <w:r w:rsidR="008D1E90" w:rsidRPr="00043589">
        <w:t>8</w:t>
      </w:r>
      <w:r w:rsidR="00946785" w:rsidRPr="00043589">
        <w:t>-</w:t>
      </w:r>
      <w:r w:rsidR="008D1E90" w:rsidRPr="00043589">
        <w:t>12</w:t>
      </w:r>
      <w:r w:rsidR="00B670FF" w:rsidRPr="00043589">
        <w:t xml:space="preserve"> years since last fire</w:t>
      </w:r>
      <w:r w:rsidR="00946785" w:rsidRPr="00043589">
        <w:t>,</w:t>
      </w:r>
      <w:r w:rsidR="00CD1131" w:rsidRPr="00043589">
        <w:t xml:space="preserve"> and</w:t>
      </w:r>
      <w:r w:rsidR="00946785" w:rsidRPr="00043589">
        <w:t xml:space="preserve"> 1</w:t>
      </w:r>
      <w:r w:rsidR="008D1E90" w:rsidRPr="00043589">
        <w:t>3</w:t>
      </w:r>
      <w:r w:rsidR="00CD1131" w:rsidRPr="00043589">
        <w:t xml:space="preserve"> or more years since last fire </w:t>
      </w:r>
      <w:r w:rsidR="00F736B8" w:rsidRPr="00043589">
        <w:t xml:space="preserve">to adjust for study design </w:t>
      </w:r>
      <w:r w:rsidR="00431D09" w:rsidRPr="00043589">
        <w:t>imbalances</w:t>
      </w:r>
      <w:r w:rsidR="008D6B4A" w:rsidRPr="00043589">
        <w:t xml:space="preserve"> (e.g., </w:t>
      </w:r>
      <w:r w:rsidR="00F736B8" w:rsidRPr="00043589">
        <w:t>6 observations in some high TS</w:t>
      </w:r>
      <w:r w:rsidR="0041491A" w:rsidRPr="00043589">
        <w:t>L</w:t>
      </w:r>
      <w:r w:rsidR="00F736B8" w:rsidRPr="00043589">
        <w:t>F categories but more than 50 observations</w:t>
      </w:r>
      <w:r w:rsidR="00946785" w:rsidRPr="00043589">
        <w:t xml:space="preserve"> in 4 and 10-year TS</w:t>
      </w:r>
      <w:r w:rsidR="0041491A" w:rsidRPr="00043589">
        <w:t>L</w:t>
      </w:r>
      <w:r w:rsidR="00946785" w:rsidRPr="00043589">
        <w:t>F</w:t>
      </w:r>
      <w:r w:rsidR="00906561" w:rsidRPr="00043589">
        <w:t xml:space="preserve"> categories</w:t>
      </w:r>
      <w:r w:rsidR="008D6B4A" w:rsidRPr="00043589">
        <w:t>)</w:t>
      </w:r>
      <w:r w:rsidR="0041491A" w:rsidRPr="00043589">
        <w:t>.</w:t>
      </w:r>
    </w:p>
    <w:p w14:paraId="55B2F6C5" w14:textId="4DB1D60E" w:rsidR="00906561" w:rsidRPr="00043589" w:rsidRDefault="00906561" w:rsidP="00AA763D">
      <w:pPr>
        <w:spacing w:line="480" w:lineRule="auto"/>
        <w:ind w:firstLine="720"/>
      </w:pPr>
    </w:p>
    <w:p w14:paraId="3A6DC5E8" w14:textId="77777777" w:rsidR="00906561" w:rsidRPr="00043589" w:rsidRDefault="00906561" w:rsidP="00AA763D">
      <w:pPr>
        <w:spacing w:line="480" w:lineRule="auto"/>
        <w:ind w:firstLine="720"/>
      </w:pPr>
    </w:p>
    <w:p w14:paraId="0A3A2E0B" w14:textId="77777777" w:rsidR="00D82EFD" w:rsidRPr="00043589" w:rsidRDefault="00D82EFD" w:rsidP="00091F68">
      <w:pPr>
        <w:spacing w:line="480" w:lineRule="auto"/>
        <w:jc w:val="center"/>
        <w:rPr>
          <w:b/>
          <w:bCs/>
          <w:color w:val="000000"/>
          <w:shd w:val="clear" w:color="auto" w:fill="FFFFFF"/>
        </w:rPr>
      </w:pPr>
    </w:p>
    <w:p w14:paraId="5C243E2A" w14:textId="77777777" w:rsidR="00D82EFD" w:rsidRPr="00043589" w:rsidRDefault="00D82EFD" w:rsidP="00091F68">
      <w:pPr>
        <w:spacing w:line="480" w:lineRule="auto"/>
        <w:jc w:val="center"/>
        <w:rPr>
          <w:b/>
          <w:bCs/>
          <w:color w:val="000000"/>
          <w:shd w:val="clear" w:color="auto" w:fill="FFFFFF"/>
        </w:rPr>
      </w:pPr>
    </w:p>
    <w:p w14:paraId="27D70C10" w14:textId="77777777" w:rsidR="00D82EFD" w:rsidRPr="00043589" w:rsidRDefault="00D82EFD" w:rsidP="00091F68">
      <w:pPr>
        <w:spacing w:line="480" w:lineRule="auto"/>
        <w:jc w:val="center"/>
        <w:rPr>
          <w:b/>
          <w:bCs/>
          <w:color w:val="000000"/>
          <w:shd w:val="clear" w:color="auto" w:fill="FFFFFF"/>
        </w:rPr>
      </w:pPr>
    </w:p>
    <w:p w14:paraId="2EF852CB" w14:textId="77777777" w:rsidR="00D82EFD" w:rsidRPr="00043589" w:rsidRDefault="00D82EFD" w:rsidP="00091F68">
      <w:pPr>
        <w:spacing w:line="480" w:lineRule="auto"/>
        <w:jc w:val="center"/>
        <w:rPr>
          <w:b/>
          <w:bCs/>
          <w:color w:val="000000"/>
          <w:shd w:val="clear" w:color="auto" w:fill="FFFFFF"/>
        </w:rPr>
      </w:pPr>
    </w:p>
    <w:p w14:paraId="4A1A3979" w14:textId="77777777" w:rsidR="00D82EFD" w:rsidRPr="00043589" w:rsidRDefault="00D82EFD" w:rsidP="00091F68">
      <w:pPr>
        <w:spacing w:line="480" w:lineRule="auto"/>
        <w:jc w:val="center"/>
        <w:rPr>
          <w:b/>
          <w:bCs/>
          <w:color w:val="000000"/>
          <w:shd w:val="clear" w:color="auto" w:fill="FFFFFF"/>
        </w:rPr>
      </w:pPr>
    </w:p>
    <w:p w14:paraId="357F2F32" w14:textId="77777777" w:rsidR="00D82EFD" w:rsidRPr="00043589" w:rsidRDefault="00D82EFD" w:rsidP="00E866BF">
      <w:pPr>
        <w:spacing w:line="480" w:lineRule="auto"/>
        <w:rPr>
          <w:b/>
          <w:bCs/>
          <w:color w:val="000000"/>
          <w:shd w:val="clear" w:color="auto" w:fill="FFFFFF"/>
        </w:rPr>
      </w:pPr>
    </w:p>
    <w:p w14:paraId="610283F2" w14:textId="77777777" w:rsidR="007E1575" w:rsidRDefault="007E1575" w:rsidP="00091F68">
      <w:pPr>
        <w:spacing w:line="480" w:lineRule="auto"/>
        <w:jc w:val="center"/>
        <w:rPr>
          <w:b/>
          <w:bCs/>
          <w:color w:val="000000"/>
          <w:shd w:val="clear" w:color="auto" w:fill="FFFFFF"/>
        </w:rPr>
      </w:pPr>
    </w:p>
    <w:p w14:paraId="0D01539F" w14:textId="77777777" w:rsidR="007E1575" w:rsidRDefault="007E1575" w:rsidP="00091F68">
      <w:pPr>
        <w:spacing w:line="480" w:lineRule="auto"/>
        <w:jc w:val="center"/>
        <w:rPr>
          <w:b/>
          <w:bCs/>
          <w:color w:val="000000"/>
          <w:shd w:val="clear" w:color="auto" w:fill="FFFFFF"/>
        </w:rPr>
      </w:pPr>
    </w:p>
    <w:p w14:paraId="7EA263C1" w14:textId="77777777" w:rsidR="007E1575" w:rsidRDefault="007E1575" w:rsidP="00091F68">
      <w:pPr>
        <w:spacing w:line="480" w:lineRule="auto"/>
        <w:jc w:val="center"/>
        <w:rPr>
          <w:b/>
          <w:bCs/>
          <w:color w:val="000000"/>
          <w:shd w:val="clear" w:color="auto" w:fill="FFFFFF"/>
        </w:rPr>
      </w:pPr>
    </w:p>
    <w:p w14:paraId="5F265547" w14:textId="77777777" w:rsidR="007E1575" w:rsidRDefault="007E1575" w:rsidP="00091F68">
      <w:pPr>
        <w:spacing w:line="480" w:lineRule="auto"/>
        <w:jc w:val="center"/>
        <w:rPr>
          <w:b/>
          <w:bCs/>
          <w:color w:val="000000"/>
          <w:shd w:val="clear" w:color="auto" w:fill="FFFFFF"/>
        </w:rPr>
      </w:pPr>
    </w:p>
    <w:p w14:paraId="4DAB2D2A" w14:textId="36D9DDFF" w:rsidR="00091F68" w:rsidRPr="00043589" w:rsidRDefault="0062089C" w:rsidP="00091F68">
      <w:pPr>
        <w:spacing w:line="480" w:lineRule="auto"/>
        <w:jc w:val="center"/>
        <w:rPr>
          <w:b/>
          <w:bCs/>
          <w:color w:val="000000"/>
          <w:shd w:val="clear" w:color="auto" w:fill="FFFFFF"/>
        </w:rPr>
      </w:pPr>
      <w:r w:rsidRPr="00043589">
        <w:rPr>
          <w:b/>
          <w:bCs/>
          <w:color w:val="000000"/>
          <w:shd w:val="clear" w:color="auto" w:fill="FFFFFF"/>
        </w:rPr>
        <w:lastRenderedPageBreak/>
        <w:t>Results</w:t>
      </w:r>
    </w:p>
    <w:p w14:paraId="634592C9" w14:textId="1F4A10D0" w:rsidR="002E18C1" w:rsidRPr="00043589" w:rsidRDefault="002B5716" w:rsidP="002E18C1">
      <w:pPr>
        <w:spacing w:line="480" w:lineRule="auto"/>
        <w:rPr>
          <w:color w:val="000000"/>
          <w:shd w:val="clear" w:color="auto" w:fill="FFFFFF"/>
        </w:rPr>
      </w:pPr>
      <w:r w:rsidRPr="00043589">
        <w:rPr>
          <w:color w:val="000000"/>
          <w:shd w:val="clear" w:color="auto" w:fill="FFFFFF"/>
        </w:rPr>
        <w:tab/>
      </w:r>
      <w:r w:rsidR="00034EF4" w:rsidRPr="00043589">
        <w:rPr>
          <w:color w:val="000000"/>
          <w:shd w:val="clear" w:color="auto" w:fill="FFFFFF"/>
        </w:rPr>
        <w:t xml:space="preserve">In order to determine the </w:t>
      </w:r>
      <w:r w:rsidR="00827B1A" w:rsidRPr="00043589">
        <w:rPr>
          <w:color w:val="000000"/>
          <w:shd w:val="clear" w:color="auto" w:fill="FFFFFF"/>
        </w:rPr>
        <w:t>model</w:t>
      </w:r>
      <w:r w:rsidR="00034EF4" w:rsidRPr="00043589">
        <w:rPr>
          <w:color w:val="000000"/>
          <w:shd w:val="clear" w:color="auto" w:fill="FFFFFF"/>
        </w:rPr>
        <w:t xml:space="preserve"> most relevant for a multiple regression analysis of the data</w:t>
      </w:r>
      <w:r w:rsidR="00B57AAC" w:rsidRPr="00043589">
        <w:rPr>
          <w:color w:val="000000"/>
          <w:shd w:val="clear" w:color="auto" w:fill="FFFFFF"/>
        </w:rPr>
        <w:t>,</w:t>
      </w:r>
      <w:r w:rsidR="00034EF4" w:rsidRPr="00043589">
        <w:rPr>
          <w:color w:val="000000"/>
          <w:shd w:val="clear" w:color="auto" w:fill="FFFFFF"/>
        </w:rPr>
        <w:t xml:space="preserve"> </w:t>
      </w:r>
      <w:r w:rsidR="00B0266B" w:rsidRPr="00043589">
        <w:rPr>
          <w:color w:val="000000"/>
          <w:shd w:val="clear" w:color="auto" w:fill="FFFFFF"/>
        </w:rPr>
        <w:t xml:space="preserve">Wald Type 3 Chi Square tests were run on </w:t>
      </w:r>
      <w:r w:rsidR="00B57AAC" w:rsidRPr="00043589">
        <w:rPr>
          <w:color w:val="000000"/>
          <w:shd w:val="clear" w:color="auto" w:fill="FFFFFF"/>
        </w:rPr>
        <w:t xml:space="preserve">multiple GLMM models that incorporated </w:t>
      </w:r>
      <w:r w:rsidR="00B0266B" w:rsidRPr="00043589">
        <w:rPr>
          <w:color w:val="000000"/>
          <w:shd w:val="clear" w:color="auto" w:fill="FFFFFF"/>
        </w:rPr>
        <w:t xml:space="preserve">variables hypothesized to have an effect on nut production. </w:t>
      </w:r>
      <w:r w:rsidR="00034EF4" w:rsidRPr="00043589">
        <w:rPr>
          <w:color w:val="000000"/>
          <w:shd w:val="clear" w:color="auto" w:fill="FFFFFF"/>
        </w:rPr>
        <w:t xml:space="preserve">Based on the Wald Type 3 Chi Square tests, </w:t>
      </w:r>
      <w:r w:rsidR="00B57AAC" w:rsidRPr="00043589">
        <w:rPr>
          <w:color w:val="000000"/>
          <w:shd w:val="clear" w:color="auto" w:fill="FFFFFF"/>
        </w:rPr>
        <w:t>the model</w:t>
      </w:r>
      <w:r w:rsidR="00644C60" w:rsidRPr="00043589">
        <w:rPr>
          <w:color w:val="000000"/>
          <w:shd w:val="clear" w:color="auto" w:fill="FFFFFF"/>
        </w:rPr>
        <w:t xml:space="preserve"> of best fit incorporated</w:t>
      </w:r>
      <w:r w:rsidR="00034EF4" w:rsidRPr="00043589">
        <w:rPr>
          <w:color w:val="000000"/>
          <w:shd w:val="clear" w:color="auto" w:fill="FFFFFF"/>
        </w:rPr>
        <w:t xml:space="preserve"> </w:t>
      </w:r>
      <w:r w:rsidR="0092792F" w:rsidRPr="00043589">
        <w:rPr>
          <w:color w:val="000000"/>
          <w:shd w:val="clear" w:color="auto" w:fill="FFFFFF"/>
        </w:rPr>
        <w:t xml:space="preserve">the </w:t>
      </w:r>
      <w:r w:rsidR="006077A0" w:rsidRPr="00043589">
        <w:rPr>
          <w:color w:val="000000"/>
          <w:shd w:val="clear" w:color="auto" w:fill="FFFFFF"/>
        </w:rPr>
        <w:t xml:space="preserve">number of stems on </w:t>
      </w:r>
      <w:r w:rsidR="00644C60" w:rsidRPr="00043589">
        <w:rPr>
          <w:color w:val="000000"/>
          <w:shd w:val="clear" w:color="auto" w:fill="FFFFFF"/>
        </w:rPr>
        <w:t>individual California hazelnut</w:t>
      </w:r>
      <w:r w:rsidR="006077A0" w:rsidRPr="00043589">
        <w:rPr>
          <w:color w:val="000000"/>
          <w:shd w:val="clear" w:color="auto" w:fill="FFFFFF"/>
        </w:rPr>
        <w:t xml:space="preserve"> shrub</w:t>
      </w:r>
      <w:r w:rsidR="00644C60" w:rsidRPr="00043589">
        <w:rPr>
          <w:color w:val="000000"/>
          <w:shd w:val="clear" w:color="auto" w:fill="FFFFFF"/>
        </w:rPr>
        <w:t>s</w:t>
      </w:r>
      <w:r w:rsidR="006077A0" w:rsidRPr="00043589">
        <w:rPr>
          <w:color w:val="000000"/>
          <w:shd w:val="clear" w:color="auto" w:fill="FFFFFF"/>
        </w:rPr>
        <w:t xml:space="preserve"> (p &lt; 0.001), the diameter of the basal stems on the shrub</w:t>
      </w:r>
      <w:r w:rsidR="00644C60" w:rsidRPr="00043589">
        <w:rPr>
          <w:color w:val="000000"/>
          <w:shd w:val="clear" w:color="auto" w:fill="FFFFFF"/>
        </w:rPr>
        <w:t>s</w:t>
      </w:r>
      <w:r w:rsidR="006077A0" w:rsidRPr="00043589">
        <w:rPr>
          <w:color w:val="000000"/>
          <w:shd w:val="clear" w:color="auto" w:fill="FFFFFF"/>
        </w:rPr>
        <w:t xml:space="preserve"> (p </w:t>
      </w:r>
      <w:r w:rsidR="00894011" w:rsidRPr="00043589">
        <w:rPr>
          <w:color w:val="000000"/>
          <w:shd w:val="clear" w:color="auto" w:fill="FFFFFF"/>
        </w:rPr>
        <w:t xml:space="preserve"> </w:t>
      </w:r>
      <w:r w:rsidR="006077A0" w:rsidRPr="00043589">
        <w:rPr>
          <w:color w:val="000000"/>
          <w:shd w:val="clear" w:color="auto" w:fill="FFFFFF"/>
        </w:rPr>
        <w:t xml:space="preserve">&lt; </w:t>
      </w:r>
      <w:r w:rsidR="00894011" w:rsidRPr="00043589">
        <w:rPr>
          <w:color w:val="000000"/>
          <w:shd w:val="clear" w:color="auto" w:fill="FFFFFF"/>
        </w:rPr>
        <w:t xml:space="preserve"> </w:t>
      </w:r>
      <w:r w:rsidR="006077A0" w:rsidRPr="00043589">
        <w:rPr>
          <w:color w:val="000000"/>
          <w:shd w:val="clear" w:color="auto" w:fill="FFFFFF"/>
        </w:rPr>
        <w:t>0.001), the</w:t>
      </w:r>
      <w:r w:rsidR="00644C60" w:rsidRPr="00043589">
        <w:rPr>
          <w:color w:val="000000"/>
          <w:shd w:val="clear" w:color="auto" w:fill="FFFFFF"/>
        </w:rPr>
        <w:t xml:space="preserve"> amount of sunlight each shrub had access to (solar access) </w:t>
      </w:r>
      <w:r w:rsidR="00894011" w:rsidRPr="00043589">
        <w:rPr>
          <w:color w:val="000000"/>
          <w:shd w:val="clear" w:color="auto" w:fill="FFFFFF"/>
        </w:rPr>
        <w:t>(p &lt; 0.001), TSLF (p &lt; 0.001), and the interactive variable TSLF*solar access (p &lt; 0.01)</w:t>
      </w:r>
      <w:r w:rsidR="00721A6E" w:rsidRPr="00043589">
        <w:rPr>
          <w:color w:val="000000"/>
          <w:shd w:val="clear" w:color="auto" w:fill="FFFFFF"/>
        </w:rPr>
        <w:t xml:space="preserve"> (Table 1)</w:t>
      </w:r>
      <w:r w:rsidR="00894011" w:rsidRPr="00043589">
        <w:rPr>
          <w:color w:val="000000"/>
          <w:shd w:val="clear" w:color="auto" w:fill="FFFFFF"/>
        </w:rPr>
        <w:t>.</w:t>
      </w:r>
      <w:r w:rsidR="0031460A" w:rsidRPr="00043589">
        <w:rPr>
          <w:color w:val="000000"/>
          <w:shd w:val="clear" w:color="auto" w:fill="FFFFFF"/>
        </w:rPr>
        <w:t xml:space="preserve"> The amount of precipitation over the area in which samples were taken, the elevation of the sampling plots, the slope on which </w:t>
      </w:r>
      <w:r w:rsidR="00C7702F" w:rsidRPr="00043589">
        <w:rPr>
          <w:color w:val="000000"/>
          <w:shd w:val="clear" w:color="auto" w:fill="FFFFFF"/>
        </w:rPr>
        <w:t>the samples</w:t>
      </w:r>
      <w:r w:rsidR="0031460A" w:rsidRPr="00043589">
        <w:rPr>
          <w:color w:val="000000"/>
          <w:shd w:val="clear" w:color="auto" w:fill="FFFFFF"/>
        </w:rPr>
        <w:t xml:space="preserve"> were taken, and the aspect of the samples were all found to have an insignificant relationship</w:t>
      </w:r>
      <w:r w:rsidR="00C7702F" w:rsidRPr="00043589">
        <w:rPr>
          <w:color w:val="000000"/>
          <w:shd w:val="clear" w:color="auto" w:fill="FFFFFF"/>
        </w:rPr>
        <w:t>s (p &gt; 0.05)</w:t>
      </w:r>
      <w:r w:rsidR="0031460A" w:rsidRPr="00043589">
        <w:rPr>
          <w:color w:val="000000"/>
          <w:shd w:val="clear" w:color="auto" w:fill="FFFFFF"/>
        </w:rPr>
        <w:t xml:space="preserve"> with the nut production of individual California hazelnut shrubs. </w:t>
      </w:r>
    </w:p>
    <w:p w14:paraId="7EC3ED89" w14:textId="3116AA5E" w:rsidR="008D5AB7" w:rsidRPr="00043589" w:rsidRDefault="00B57AAC" w:rsidP="00644C60">
      <w:pPr>
        <w:spacing w:line="480" w:lineRule="auto"/>
        <w:ind w:firstLine="720"/>
        <w:rPr>
          <w:color w:val="000000"/>
          <w:shd w:val="clear" w:color="auto" w:fill="FFFFFF"/>
        </w:rPr>
      </w:pPr>
      <w:r w:rsidRPr="00043589">
        <w:rPr>
          <w:color w:val="000000"/>
          <w:shd w:val="clear" w:color="auto" w:fill="FFFFFF"/>
        </w:rPr>
        <w:t>In th</w:t>
      </w:r>
      <w:r w:rsidR="00C7702F" w:rsidRPr="00043589">
        <w:rPr>
          <w:color w:val="000000"/>
          <w:shd w:val="clear" w:color="auto" w:fill="FFFFFF"/>
        </w:rPr>
        <w:t>e</w:t>
      </w:r>
      <w:r w:rsidRPr="00043589">
        <w:rPr>
          <w:color w:val="000000"/>
          <w:shd w:val="clear" w:color="auto" w:fill="FFFFFF"/>
        </w:rPr>
        <w:t xml:space="preserve"> </w:t>
      </w:r>
      <w:r w:rsidRPr="00043589">
        <w:t>negative-binomial GLMM model</w:t>
      </w:r>
      <w:r w:rsidR="00C7702F" w:rsidRPr="00043589">
        <w:t xml:space="preserve"> of best fit</w:t>
      </w:r>
      <w:r w:rsidRPr="00043589">
        <w:t>,</w:t>
      </w:r>
      <w:r w:rsidRPr="00043589">
        <w:rPr>
          <w:color w:val="000000"/>
          <w:shd w:val="clear" w:color="auto" w:fill="FFFFFF"/>
        </w:rPr>
        <w:t xml:space="preserve"> the number of stems an individual California hazelnut shrub had and its basal stem diameter were positively correlated to nut production and were highly significant (Table 2). Solar access likewise had a large positive effect on nut production, but its effect on nut production was highly dependent on the TSLF category individual California hazelnut shrubs were </w:t>
      </w:r>
      <w:r w:rsidR="00644C60" w:rsidRPr="00043589">
        <w:rPr>
          <w:color w:val="000000"/>
          <w:shd w:val="clear" w:color="auto" w:fill="FFFFFF"/>
        </w:rPr>
        <w:t>grouped in</w:t>
      </w:r>
      <w:r w:rsidRPr="00043589">
        <w:rPr>
          <w:color w:val="000000"/>
          <w:shd w:val="clear" w:color="auto" w:fill="FFFFFF"/>
        </w:rPr>
        <w:t xml:space="preserve"> (Figure </w:t>
      </w:r>
      <w:r w:rsidR="00721A6E" w:rsidRPr="00043589">
        <w:rPr>
          <w:color w:val="000000"/>
          <w:shd w:val="clear" w:color="auto" w:fill="FFFFFF"/>
        </w:rPr>
        <w:t>2</w:t>
      </w:r>
      <w:r w:rsidRPr="00043589">
        <w:rPr>
          <w:color w:val="000000"/>
          <w:shd w:val="clear" w:color="auto" w:fill="FFFFFF"/>
        </w:rPr>
        <w:t>). Younger</w:t>
      </w:r>
      <w:r w:rsidR="00C7702F" w:rsidRPr="00043589">
        <w:rPr>
          <w:color w:val="000000"/>
          <w:shd w:val="clear" w:color="auto" w:fill="FFFFFF"/>
        </w:rPr>
        <w:t xml:space="preserve"> California</w:t>
      </w:r>
      <w:r w:rsidRPr="00043589">
        <w:rPr>
          <w:color w:val="000000"/>
          <w:shd w:val="clear" w:color="auto" w:fill="FFFFFF"/>
        </w:rPr>
        <w:t xml:space="preserve"> hazelnut shrubs from more recent burns were less </w:t>
      </w:r>
      <w:r w:rsidR="00C7702F" w:rsidRPr="00043589">
        <w:rPr>
          <w:color w:val="000000"/>
          <w:shd w:val="clear" w:color="auto" w:fill="FFFFFF"/>
        </w:rPr>
        <w:t>influenced in nut production</w:t>
      </w:r>
      <w:r w:rsidRPr="00043589">
        <w:rPr>
          <w:color w:val="000000"/>
          <w:shd w:val="clear" w:color="auto" w:fill="FFFFFF"/>
        </w:rPr>
        <w:t xml:space="preserve"> by solar access than older California hazelnuts shrubs from older burns. </w:t>
      </w:r>
    </w:p>
    <w:p w14:paraId="5FF998C0" w14:textId="4684C1F0" w:rsidR="00644C60" w:rsidRPr="00043589" w:rsidRDefault="00B57AAC" w:rsidP="00644C60">
      <w:pPr>
        <w:spacing w:line="480" w:lineRule="auto"/>
        <w:ind w:firstLine="720"/>
        <w:rPr>
          <w:color w:val="000000"/>
          <w:shd w:val="clear" w:color="auto" w:fill="FFFFFF"/>
        </w:rPr>
      </w:pPr>
      <w:r w:rsidRPr="00043589">
        <w:rPr>
          <w:color w:val="000000"/>
          <w:shd w:val="clear" w:color="auto" w:fill="FFFFFF"/>
        </w:rPr>
        <w:t xml:space="preserve">On average hazelnut shrubs from relatively younger burns had more nuts per shrub than hazelnut shrubs from older burns, with the highest number of hazelnuts produced within the 3-7 years since last fire category (Figure </w:t>
      </w:r>
      <w:r w:rsidR="00721A6E" w:rsidRPr="00043589">
        <w:rPr>
          <w:color w:val="000000"/>
          <w:shd w:val="clear" w:color="auto" w:fill="FFFFFF"/>
        </w:rPr>
        <w:t>3</w:t>
      </w:r>
      <w:r w:rsidRPr="00043589">
        <w:rPr>
          <w:color w:val="000000"/>
          <w:shd w:val="clear" w:color="auto" w:fill="FFFFFF"/>
        </w:rPr>
        <w:t>)</w:t>
      </w:r>
      <w:r w:rsidR="00014D4E" w:rsidRPr="00043589">
        <w:rPr>
          <w:color w:val="000000"/>
          <w:shd w:val="clear" w:color="auto" w:fill="FFFFFF"/>
        </w:rPr>
        <w:t xml:space="preserve">. However, when accounting for the interactive effect of solar access and TSLF, shrubs that were in areas that had burned 13 or more years ago produced more nuts if they had solar access above </w:t>
      </w:r>
      <w:r w:rsidR="00570035" w:rsidRPr="00043589">
        <w:rPr>
          <w:color w:val="000000"/>
          <w:shd w:val="clear" w:color="auto" w:fill="FFFFFF"/>
        </w:rPr>
        <w:t>8</w:t>
      </w:r>
      <w:r w:rsidR="00014D4E" w:rsidRPr="00043589">
        <w:rPr>
          <w:color w:val="000000"/>
          <w:shd w:val="clear" w:color="auto" w:fill="FFFFFF"/>
        </w:rPr>
        <w:t xml:space="preserve">0% (Figure </w:t>
      </w:r>
      <w:r w:rsidR="00721A6E" w:rsidRPr="00043589">
        <w:rPr>
          <w:color w:val="000000"/>
          <w:shd w:val="clear" w:color="auto" w:fill="FFFFFF"/>
        </w:rPr>
        <w:t>4</w:t>
      </w:r>
      <w:r w:rsidR="00014D4E" w:rsidRPr="00043589">
        <w:rPr>
          <w:color w:val="000000"/>
          <w:shd w:val="clear" w:color="auto" w:fill="FFFFFF"/>
        </w:rPr>
        <w:t>)</w:t>
      </w:r>
      <w:r w:rsidR="008D5AB7" w:rsidRPr="00043589">
        <w:rPr>
          <w:color w:val="000000"/>
          <w:shd w:val="clear" w:color="auto" w:fill="FFFFFF"/>
        </w:rPr>
        <w:t xml:space="preserve"> (Figure </w:t>
      </w:r>
      <w:r w:rsidR="00721A6E" w:rsidRPr="00043589">
        <w:rPr>
          <w:color w:val="000000"/>
          <w:shd w:val="clear" w:color="auto" w:fill="FFFFFF"/>
        </w:rPr>
        <w:t>5</w:t>
      </w:r>
      <w:r w:rsidR="008D5AB7" w:rsidRPr="00043589">
        <w:rPr>
          <w:color w:val="000000"/>
          <w:shd w:val="clear" w:color="auto" w:fill="FFFFFF"/>
        </w:rPr>
        <w:t>)</w:t>
      </w:r>
      <w:r w:rsidR="00014D4E" w:rsidRPr="00043589">
        <w:rPr>
          <w:color w:val="000000"/>
          <w:shd w:val="clear" w:color="auto" w:fill="FFFFFF"/>
        </w:rPr>
        <w:t>.</w:t>
      </w:r>
      <w:r w:rsidR="00570035" w:rsidRPr="00043589">
        <w:rPr>
          <w:color w:val="000000"/>
          <w:shd w:val="clear" w:color="auto" w:fill="FFFFFF"/>
        </w:rPr>
        <w:t xml:space="preserve"> However, there was a very </w:t>
      </w:r>
      <w:r w:rsidR="00570035" w:rsidRPr="00043589">
        <w:rPr>
          <w:color w:val="000000"/>
          <w:shd w:val="clear" w:color="auto" w:fill="FFFFFF"/>
        </w:rPr>
        <w:lastRenderedPageBreak/>
        <w:t xml:space="preserve">high variance in nut production at higher levels of sunlight, especially in plots that hadn’t been burned in more than 13 years. </w:t>
      </w:r>
      <w:r w:rsidR="0031460A" w:rsidRPr="00043589">
        <w:rPr>
          <w:color w:val="000000"/>
          <w:shd w:val="clear" w:color="auto" w:fill="FFFFFF"/>
        </w:rPr>
        <w:t xml:space="preserve"> Nut production exhibited considerable heteroskedasticity when plotted against numerous variables</w:t>
      </w:r>
      <w:r w:rsidR="00721A6E" w:rsidRPr="00043589">
        <w:rPr>
          <w:color w:val="000000"/>
          <w:shd w:val="clear" w:color="auto" w:fill="FFFFFF"/>
        </w:rPr>
        <w:t xml:space="preserve"> including</w:t>
      </w:r>
      <w:r w:rsidR="008D5AB7" w:rsidRPr="00043589">
        <w:rPr>
          <w:color w:val="000000"/>
          <w:shd w:val="clear" w:color="auto" w:fill="FFFFFF"/>
        </w:rPr>
        <w:t xml:space="preserve"> solar acces</w:t>
      </w:r>
      <w:r w:rsidR="00721A6E" w:rsidRPr="00043589">
        <w:rPr>
          <w:color w:val="000000"/>
          <w:shd w:val="clear" w:color="auto" w:fill="FFFFFF"/>
        </w:rPr>
        <w:t>s (Figure 6)</w:t>
      </w:r>
      <w:r w:rsidR="0031460A" w:rsidRPr="00043589">
        <w:rPr>
          <w:color w:val="000000"/>
          <w:shd w:val="clear" w:color="auto" w:fill="FFFFFF"/>
        </w:rPr>
        <w:t>.</w:t>
      </w:r>
    </w:p>
    <w:p w14:paraId="008F89A3" w14:textId="22D9161E" w:rsidR="00644C60" w:rsidRPr="00043589" w:rsidRDefault="00014D4E" w:rsidP="00644C60">
      <w:pPr>
        <w:spacing w:line="480" w:lineRule="auto"/>
        <w:ind w:firstLine="720"/>
        <w:rPr>
          <w:color w:val="000000"/>
          <w:shd w:val="clear" w:color="auto" w:fill="FFFFFF"/>
        </w:rPr>
      </w:pPr>
      <w:r w:rsidRPr="00043589">
        <w:rPr>
          <w:color w:val="000000"/>
          <w:shd w:val="clear" w:color="auto" w:fill="FFFFFF"/>
        </w:rPr>
        <w:t xml:space="preserve">Based on simple regression </w:t>
      </w:r>
      <w:r w:rsidR="0062089C" w:rsidRPr="00043589">
        <w:rPr>
          <w:color w:val="000000"/>
          <w:shd w:val="clear" w:color="auto" w:fill="FFFFFF"/>
        </w:rPr>
        <w:t>models, s</w:t>
      </w:r>
      <w:r w:rsidR="00644C60" w:rsidRPr="00043589">
        <w:rPr>
          <w:color w:val="000000"/>
          <w:shd w:val="clear" w:color="auto" w:fill="FFFFFF"/>
        </w:rPr>
        <w:t xml:space="preserve">olar access of individual shrubs and basal stem diameter were both very highly correlated to TSLF. </w:t>
      </w:r>
      <w:r w:rsidRPr="00043589">
        <w:rPr>
          <w:color w:val="000000"/>
          <w:shd w:val="clear" w:color="auto" w:fill="FFFFFF"/>
        </w:rPr>
        <w:t>Solar access was positively correlated to TSLF</w:t>
      </w:r>
      <w:r w:rsidR="0062089C" w:rsidRPr="00043589">
        <w:rPr>
          <w:color w:val="000000"/>
          <w:shd w:val="clear" w:color="auto" w:fill="FFFFFF"/>
        </w:rPr>
        <w:t xml:space="preserve"> (p &lt; 0.001)</w:t>
      </w:r>
      <w:r w:rsidRPr="00043589">
        <w:rPr>
          <w:color w:val="000000"/>
          <w:shd w:val="clear" w:color="auto" w:fill="FFFFFF"/>
        </w:rPr>
        <w:t xml:space="preserve"> and stem diameter</w:t>
      </w:r>
      <w:r w:rsidR="0062089C" w:rsidRPr="00043589">
        <w:rPr>
          <w:color w:val="000000"/>
          <w:shd w:val="clear" w:color="auto" w:fill="FFFFFF"/>
        </w:rPr>
        <w:t xml:space="preserve"> (p&lt;0.001)</w:t>
      </w:r>
      <w:r w:rsidRPr="00043589">
        <w:rPr>
          <w:color w:val="000000"/>
          <w:shd w:val="clear" w:color="auto" w:fill="FFFFFF"/>
        </w:rPr>
        <w:t xml:space="preserve"> was negatively correlated </w:t>
      </w:r>
      <w:r w:rsidR="0062089C" w:rsidRPr="00043589">
        <w:rPr>
          <w:color w:val="000000"/>
          <w:shd w:val="clear" w:color="auto" w:fill="FFFFFF"/>
        </w:rPr>
        <w:t xml:space="preserve">to </w:t>
      </w:r>
      <w:r w:rsidR="0031460A" w:rsidRPr="00043589">
        <w:rPr>
          <w:color w:val="000000"/>
          <w:shd w:val="clear" w:color="auto" w:fill="FFFFFF"/>
        </w:rPr>
        <w:t>TSLF.</w:t>
      </w:r>
      <w:r w:rsidR="00570035" w:rsidRPr="00043589">
        <w:rPr>
          <w:color w:val="000000"/>
          <w:shd w:val="clear" w:color="auto" w:fill="FFFFFF"/>
        </w:rPr>
        <w:t xml:space="preserve"> </w:t>
      </w:r>
    </w:p>
    <w:p w14:paraId="6DED5896" w14:textId="77777777" w:rsidR="00D82EFD" w:rsidRPr="00043589" w:rsidRDefault="00D82EFD" w:rsidP="00D349E0">
      <w:pPr>
        <w:spacing w:line="480" w:lineRule="auto"/>
        <w:jc w:val="center"/>
        <w:rPr>
          <w:color w:val="000000"/>
          <w:shd w:val="clear" w:color="auto" w:fill="FFFFFF"/>
        </w:rPr>
      </w:pPr>
    </w:p>
    <w:p w14:paraId="68571800" w14:textId="77777777" w:rsidR="00D82EFD" w:rsidRPr="00043589" w:rsidRDefault="00D82EFD" w:rsidP="00D349E0">
      <w:pPr>
        <w:spacing w:line="480" w:lineRule="auto"/>
        <w:jc w:val="center"/>
        <w:rPr>
          <w:color w:val="000000"/>
          <w:shd w:val="clear" w:color="auto" w:fill="FFFFFF"/>
        </w:rPr>
      </w:pPr>
    </w:p>
    <w:p w14:paraId="7C2FA859" w14:textId="77777777" w:rsidR="00D82EFD" w:rsidRPr="00043589" w:rsidRDefault="00D82EFD" w:rsidP="00D349E0">
      <w:pPr>
        <w:spacing w:line="480" w:lineRule="auto"/>
        <w:jc w:val="center"/>
        <w:rPr>
          <w:color w:val="000000"/>
          <w:shd w:val="clear" w:color="auto" w:fill="FFFFFF"/>
        </w:rPr>
      </w:pPr>
    </w:p>
    <w:p w14:paraId="619C6589" w14:textId="77777777" w:rsidR="00D82EFD" w:rsidRPr="00043589" w:rsidRDefault="00D82EFD" w:rsidP="00D349E0">
      <w:pPr>
        <w:spacing w:line="480" w:lineRule="auto"/>
        <w:jc w:val="center"/>
        <w:rPr>
          <w:color w:val="000000"/>
          <w:shd w:val="clear" w:color="auto" w:fill="FFFFFF"/>
        </w:rPr>
      </w:pPr>
    </w:p>
    <w:p w14:paraId="64596A8D" w14:textId="77777777" w:rsidR="00D82EFD" w:rsidRPr="00043589" w:rsidRDefault="00D82EFD" w:rsidP="00D349E0">
      <w:pPr>
        <w:spacing w:line="480" w:lineRule="auto"/>
        <w:jc w:val="center"/>
        <w:rPr>
          <w:color w:val="000000"/>
          <w:shd w:val="clear" w:color="auto" w:fill="FFFFFF"/>
        </w:rPr>
      </w:pPr>
    </w:p>
    <w:p w14:paraId="68C016B6" w14:textId="77777777" w:rsidR="00D82EFD" w:rsidRPr="00043589" w:rsidRDefault="00D82EFD" w:rsidP="00D349E0">
      <w:pPr>
        <w:spacing w:line="480" w:lineRule="auto"/>
        <w:jc w:val="center"/>
        <w:rPr>
          <w:color w:val="000000"/>
          <w:shd w:val="clear" w:color="auto" w:fill="FFFFFF"/>
        </w:rPr>
      </w:pPr>
    </w:p>
    <w:p w14:paraId="681A5E67" w14:textId="77777777" w:rsidR="00D82EFD" w:rsidRPr="00043589" w:rsidRDefault="00D82EFD" w:rsidP="00D349E0">
      <w:pPr>
        <w:spacing w:line="480" w:lineRule="auto"/>
        <w:jc w:val="center"/>
        <w:rPr>
          <w:color w:val="000000"/>
          <w:shd w:val="clear" w:color="auto" w:fill="FFFFFF"/>
        </w:rPr>
      </w:pPr>
    </w:p>
    <w:p w14:paraId="02F2E79A" w14:textId="77777777" w:rsidR="00D82EFD" w:rsidRPr="00043589" w:rsidRDefault="00D82EFD" w:rsidP="00D349E0">
      <w:pPr>
        <w:spacing w:line="480" w:lineRule="auto"/>
        <w:jc w:val="center"/>
        <w:rPr>
          <w:color w:val="000000"/>
          <w:shd w:val="clear" w:color="auto" w:fill="FFFFFF"/>
        </w:rPr>
      </w:pPr>
    </w:p>
    <w:p w14:paraId="44A68DE2" w14:textId="77777777" w:rsidR="00D82EFD" w:rsidRPr="00043589" w:rsidRDefault="00D82EFD" w:rsidP="00D349E0">
      <w:pPr>
        <w:spacing w:line="480" w:lineRule="auto"/>
        <w:jc w:val="center"/>
        <w:rPr>
          <w:color w:val="000000"/>
          <w:shd w:val="clear" w:color="auto" w:fill="FFFFFF"/>
        </w:rPr>
      </w:pPr>
    </w:p>
    <w:p w14:paraId="7A875B57" w14:textId="77777777" w:rsidR="00D82EFD" w:rsidRPr="00043589" w:rsidRDefault="00D82EFD" w:rsidP="00D349E0">
      <w:pPr>
        <w:spacing w:line="480" w:lineRule="auto"/>
        <w:jc w:val="center"/>
        <w:rPr>
          <w:color w:val="000000"/>
          <w:shd w:val="clear" w:color="auto" w:fill="FFFFFF"/>
        </w:rPr>
      </w:pPr>
    </w:p>
    <w:p w14:paraId="57139E77" w14:textId="77777777" w:rsidR="00D82EFD" w:rsidRPr="00043589" w:rsidRDefault="00D82EFD" w:rsidP="00D349E0">
      <w:pPr>
        <w:spacing w:line="480" w:lineRule="auto"/>
        <w:jc w:val="center"/>
        <w:rPr>
          <w:color w:val="000000"/>
          <w:shd w:val="clear" w:color="auto" w:fill="FFFFFF"/>
        </w:rPr>
      </w:pPr>
    </w:p>
    <w:p w14:paraId="52065A36" w14:textId="77777777" w:rsidR="00E866BF" w:rsidRPr="00043589" w:rsidRDefault="00E866BF" w:rsidP="00D13FAB">
      <w:pPr>
        <w:spacing w:line="480" w:lineRule="auto"/>
        <w:rPr>
          <w:color w:val="000000"/>
          <w:shd w:val="clear" w:color="auto" w:fill="FFFFFF"/>
        </w:rPr>
      </w:pPr>
    </w:p>
    <w:p w14:paraId="5F9EB5C9" w14:textId="77777777" w:rsidR="007E1575" w:rsidRDefault="007E1575" w:rsidP="00D349E0">
      <w:pPr>
        <w:spacing w:line="480" w:lineRule="auto"/>
        <w:jc w:val="center"/>
        <w:rPr>
          <w:b/>
          <w:bCs/>
          <w:color w:val="000000"/>
          <w:shd w:val="clear" w:color="auto" w:fill="FFFFFF"/>
        </w:rPr>
      </w:pPr>
    </w:p>
    <w:p w14:paraId="25B454A3" w14:textId="77777777" w:rsidR="007E1575" w:rsidRDefault="007E1575" w:rsidP="00D349E0">
      <w:pPr>
        <w:spacing w:line="480" w:lineRule="auto"/>
        <w:jc w:val="center"/>
        <w:rPr>
          <w:b/>
          <w:bCs/>
          <w:color w:val="000000"/>
          <w:shd w:val="clear" w:color="auto" w:fill="FFFFFF"/>
        </w:rPr>
      </w:pPr>
    </w:p>
    <w:p w14:paraId="671CDC82" w14:textId="77777777" w:rsidR="007E1575" w:rsidRDefault="007E1575" w:rsidP="00D349E0">
      <w:pPr>
        <w:spacing w:line="480" w:lineRule="auto"/>
        <w:jc w:val="center"/>
        <w:rPr>
          <w:b/>
          <w:bCs/>
          <w:color w:val="000000"/>
          <w:shd w:val="clear" w:color="auto" w:fill="FFFFFF"/>
        </w:rPr>
      </w:pPr>
    </w:p>
    <w:p w14:paraId="2DBFB579" w14:textId="77777777" w:rsidR="007E1575" w:rsidRDefault="007E1575" w:rsidP="00D349E0">
      <w:pPr>
        <w:spacing w:line="480" w:lineRule="auto"/>
        <w:jc w:val="center"/>
        <w:rPr>
          <w:b/>
          <w:bCs/>
          <w:color w:val="000000"/>
          <w:shd w:val="clear" w:color="auto" w:fill="FFFFFF"/>
        </w:rPr>
      </w:pPr>
    </w:p>
    <w:p w14:paraId="0D815389" w14:textId="77777777" w:rsidR="007E1575" w:rsidRDefault="007E1575" w:rsidP="00D349E0">
      <w:pPr>
        <w:spacing w:line="480" w:lineRule="auto"/>
        <w:jc w:val="center"/>
        <w:rPr>
          <w:b/>
          <w:bCs/>
          <w:color w:val="000000"/>
          <w:shd w:val="clear" w:color="auto" w:fill="FFFFFF"/>
        </w:rPr>
      </w:pPr>
    </w:p>
    <w:p w14:paraId="69CEB22D" w14:textId="2EA1BAA0" w:rsidR="00D349E0" w:rsidRPr="00043589" w:rsidRDefault="0031460A" w:rsidP="00D349E0">
      <w:pPr>
        <w:spacing w:line="480" w:lineRule="auto"/>
        <w:jc w:val="center"/>
        <w:rPr>
          <w:b/>
          <w:bCs/>
          <w:color w:val="000000"/>
          <w:shd w:val="clear" w:color="auto" w:fill="FFFFFF"/>
        </w:rPr>
      </w:pPr>
      <w:r w:rsidRPr="00043589">
        <w:rPr>
          <w:b/>
          <w:bCs/>
          <w:color w:val="000000"/>
          <w:shd w:val="clear" w:color="auto" w:fill="FFFFFF"/>
        </w:rPr>
        <w:lastRenderedPageBreak/>
        <w:t>Discussion</w:t>
      </w:r>
    </w:p>
    <w:p w14:paraId="59578EFE" w14:textId="6A015469" w:rsidR="00DA732A" w:rsidRPr="00043589" w:rsidRDefault="00D82EFD" w:rsidP="00D82EFD">
      <w:pPr>
        <w:spacing w:line="480" w:lineRule="auto"/>
        <w:rPr>
          <w:color w:val="000000"/>
          <w:shd w:val="clear" w:color="auto" w:fill="FFFFFF"/>
        </w:rPr>
      </w:pPr>
      <w:r w:rsidRPr="00043589">
        <w:rPr>
          <w:color w:val="000000"/>
          <w:shd w:val="clear" w:color="auto" w:fill="FFFFFF"/>
        </w:rPr>
        <w:tab/>
        <w:t xml:space="preserve">On average, more California hazelnut nuts were produced by California hazelnut shrubs in areas that had burned within the past 12 years than </w:t>
      </w:r>
      <w:r w:rsidR="00DA732A" w:rsidRPr="00043589">
        <w:rPr>
          <w:color w:val="000000"/>
          <w:shd w:val="clear" w:color="auto" w:fill="FFFFFF"/>
        </w:rPr>
        <w:t xml:space="preserve">in </w:t>
      </w:r>
      <w:r w:rsidRPr="00043589">
        <w:rPr>
          <w:color w:val="000000"/>
          <w:shd w:val="clear" w:color="auto" w:fill="FFFFFF"/>
        </w:rPr>
        <w:t>areas that had been burned 13 or more years ago. However, this difference in hazelnut production between different categories of TSLF was not significant on its own, and hazelnut production by individual shrubs was determined by multiple factors that covaried to a significant extent.</w:t>
      </w:r>
      <w:r w:rsidR="00DA732A" w:rsidRPr="00043589">
        <w:rPr>
          <w:color w:val="000000"/>
          <w:shd w:val="clear" w:color="auto" w:fill="FFFFFF"/>
        </w:rPr>
        <w:t xml:space="preserve"> If </w:t>
      </w:r>
      <w:r w:rsidR="00AC1F10" w:rsidRPr="00043589">
        <w:rPr>
          <w:color w:val="000000"/>
          <w:shd w:val="clear" w:color="auto" w:fill="FFFFFF"/>
        </w:rPr>
        <w:t xml:space="preserve">California </w:t>
      </w:r>
      <w:r w:rsidR="00DA732A" w:rsidRPr="00043589">
        <w:rPr>
          <w:color w:val="000000"/>
          <w:shd w:val="clear" w:color="auto" w:fill="FFFFFF"/>
        </w:rPr>
        <w:t>hazelnuts lack access to a</w:t>
      </w:r>
      <w:r w:rsidR="00571845" w:rsidRPr="00043589">
        <w:rPr>
          <w:color w:val="000000"/>
          <w:shd w:val="clear" w:color="auto" w:fill="FFFFFF"/>
        </w:rPr>
        <w:t xml:space="preserve"> completely </w:t>
      </w:r>
      <w:r w:rsidR="00DA732A" w:rsidRPr="00043589">
        <w:rPr>
          <w:color w:val="000000"/>
          <w:shd w:val="clear" w:color="auto" w:fill="FFFFFF"/>
        </w:rPr>
        <w:t>open canopy, younger more recently burned shrubs</w:t>
      </w:r>
      <w:r w:rsidR="00451684" w:rsidRPr="00043589">
        <w:rPr>
          <w:color w:val="000000"/>
          <w:shd w:val="clear" w:color="auto" w:fill="FFFFFF"/>
        </w:rPr>
        <w:t xml:space="preserve"> </w:t>
      </w:r>
      <w:r w:rsidR="00DA732A" w:rsidRPr="00043589">
        <w:rPr>
          <w:color w:val="000000"/>
          <w:shd w:val="clear" w:color="auto" w:fill="FFFFFF"/>
        </w:rPr>
        <w:t xml:space="preserve">produce </w:t>
      </w:r>
      <w:r w:rsidR="00451684" w:rsidRPr="00043589">
        <w:rPr>
          <w:color w:val="000000"/>
          <w:shd w:val="clear" w:color="auto" w:fill="FFFFFF"/>
        </w:rPr>
        <w:t>more nuts than older shrubs that have not experienced fire in a long time</w:t>
      </w:r>
      <w:r w:rsidR="00AC1F10" w:rsidRPr="00043589">
        <w:rPr>
          <w:color w:val="000000"/>
          <w:shd w:val="clear" w:color="auto" w:fill="FFFFFF"/>
        </w:rPr>
        <w:t xml:space="preserve">. If California hazelnuts have access to a </w:t>
      </w:r>
      <w:r w:rsidR="00571845" w:rsidRPr="00043589">
        <w:rPr>
          <w:color w:val="000000"/>
          <w:shd w:val="clear" w:color="auto" w:fill="FFFFFF"/>
        </w:rPr>
        <w:t>completely</w:t>
      </w:r>
      <w:r w:rsidR="00AC1F10" w:rsidRPr="00043589">
        <w:rPr>
          <w:color w:val="000000"/>
          <w:shd w:val="clear" w:color="auto" w:fill="FFFFFF"/>
        </w:rPr>
        <w:t xml:space="preserve"> open canopy, older California hazelnut shrubs will produce on average a larger amount of nut</w:t>
      </w:r>
      <w:r w:rsidR="00C551B2">
        <w:rPr>
          <w:color w:val="000000"/>
          <w:shd w:val="clear" w:color="auto" w:fill="FFFFFF"/>
        </w:rPr>
        <w:t>s</w:t>
      </w:r>
      <w:r w:rsidR="00AC1F10" w:rsidRPr="00043589">
        <w:rPr>
          <w:color w:val="000000"/>
          <w:shd w:val="clear" w:color="auto" w:fill="FFFFFF"/>
        </w:rPr>
        <w:t xml:space="preserve"> than younger shrubs. </w:t>
      </w:r>
      <w:r w:rsidR="009C41A2">
        <w:rPr>
          <w:color w:val="000000"/>
          <w:shd w:val="clear" w:color="auto" w:fill="FFFFFF"/>
        </w:rPr>
        <w:t xml:space="preserve">Fire most likely amends the soil, decreases insect nut predators, and clears vegetation that competes for resources with California hazelnuts. This allows younger California hazelnut shrubs to produce more nuts in otherwise similar conditions to older shrubs. </w:t>
      </w:r>
      <w:r w:rsidR="00AC1F10" w:rsidRPr="00043589">
        <w:rPr>
          <w:color w:val="000000"/>
          <w:shd w:val="clear" w:color="auto" w:fill="FFFFFF"/>
        </w:rPr>
        <w:t xml:space="preserve">Based on the relationship a California hazelnut’s nut production has with its basal stem diameter and </w:t>
      </w:r>
      <w:r w:rsidR="00DC3D0E" w:rsidRPr="00043589">
        <w:rPr>
          <w:color w:val="000000"/>
          <w:shd w:val="clear" w:color="auto" w:fill="FFFFFF"/>
        </w:rPr>
        <w:t>its total</w:t>
      </w:r>
      <w:r w:rsidR="00AC1F10" w:rsidRPr="00043589">
        <w:rPr>
          <w:color w:val="000000"/>
          <w:shd w:val="clear" w:color="auto" w:fill="FFFFFF"/>
        </w:rPr>
        <w:t xml:space="preserve"> number of stems, more sunlight may give </w:t>
      </w:r>
      <w:r w:rsidR="00C551B2">
        <w:rPr>
          <w:color w:val="000000"/>
          <w:shd w:val="clear" w:color="auto" w:fill="FFFFFF"/>
        </w:rPr>
        <w:t>older</w:t>
      </w:r>
      <w:r w:rsidR="00AC1F10" w:rsidRPr="00043589">
        <w:rPr>
          <w:color w:val="000000"/>
          <w:shd w:val="clear" w:color="auto" w:fill="FFFFFF"/>
        </w:rPr>
        <w:t xml:space="preserve"> shrub</w:t>
      </w:r>
      <w:r w:rsidR="00C551B2">
        <w:rPr>
          <w:color w:val="000000"/>
          <w:shd w:val="clear" w:color="auto" w:fill="FFFFFF"/>
        </w:rPr>
        <w:t>s</w:t>
      </w:r>
      <w:r w:rsidR="00AC1F10" w:rsidRPr="00043589">
        <w:rPr>
          <w:color w:val="000000"/>
          <w:shd w:val="clear" w:color="auto" w:fill="FFFFFF"/>
        </w:rPr>
        <w:t xml:space="preserve"> the ability to take advantage of </w:t>
      </w:r>
      <w:r w:rsidR="00C551B2">
        <w:rPr>
          <w:color w:val="000000"/>
          <w:shd w:val="clear" w:color="auto" w:fill="FFFFFF"/>
        </w:rPr>
        <w:t>their</w:t>
      </w:r>
      <w:r w:rsidR="00AC1F10" w:rsidRPr="00043589">
        <w:rPr>
          <w:color w:val="000000"/>
          <w:shd w:val="clear" w:color="auto" w:fill="FFFFFF"/>
        </w:rPr>
        <w:t xml:space="preserve"> physiological traits</w:t>
      </w:r>
      <w:r w:rsidR="00571845" w:rsidRPr="00043589">
        <w:rPr>
          <w:color w:val="000000"/>
          <w:shd w:val="clear" w:color="auto" w:fill="FFFFFF"/>
        </w:rPr>
        <w:t>.</w:t>
      </w:r>
    </w:p>
    <w:p w14:paraId="30D808E4" w14:textId="3E5FC3A5" w:rsidR="00D82EFD" w:rsidRPr="00043589" w:rsidRDefault="00DA732A" w:rsidP="00AC1F10">
      <w:pPr>
        <w:spacing w:line="480" w:lineRule="auto"/>
        <w:ind w:firstLine="360"/>
        <w:rPr>
          <w:color w:val="000000"/>
          <w:shd w:val="clear" w:color="auto" w:fill="FFFFFF"/>
        </w:rPr>
      </w:pPr>
      <w:r w:rsidRPr="00043589">
        <w:rPr>
          <w:color w:val="000000"/>
          <w:shd w:val="clear" w:color="auto" w:fill="FFFFFF"/>
        </w:rPr>
        <w:t xml:space="preserve">Based on these findings, there may be more than one way to manage California hazelnut shrubs for nut productivity. One way of managing California hazelnuts for </w:t>
      </w:r>
      <w:r w:rsidR="00AC1F10" w:rsidRPr="00043589">
        <w:rPr>
          <w:color w:val="000000"/>
          <w:shd w:val="clear" w:color="auto" w:fill="FFFFFF"/>
        </w:rPr>
        <w:t xml:space="preserve">nut production may be to take advantage of California hazelnut plots managed for basketry stems </w:t>
      </w:r>
      <w:r w:rsidR="007B1455" w:rsidRPr="00043589">
        <w:rPr>
          <w:color w:val="000000"/>
          <w:shd w:val="clear" w:color="auto" w:fill="FFFFFF"/>
        </w:rPr>
        <w:t>in the terminal year of their use. Another may be to identify areas with high California hazelnut density and intentionally burn them every decade, give or take a few years, in order to take advantage of the increased nut productivity</w:t>
      </w:r>
      <w:r w:rsidR="00DC3D0E" w:rsidRPr="00043589">
        <w:rPr>
          <w:color w:val="000000"/>
          <w:shd w:val="clear" w:color="auto" w:fill="FFFFFF"/>
        </w:rPr>
        <w:t xml:space="preserve"> without wasting too many resources in more frequent burning</w:t>
      </w:r>
      <w:r w:rsidR="007B1455" w:rsidRPr="00043589">
        <w:rPr>
          <w:color w:val="000000"/>
          <w:shd w:val="clear" w:color="auto" w:fill="FFFFFF"/>
        </w:rPr>
        <w:t xml:space="preserve">. The last way would be to transplant </w:t>
      </w:r>
      <w:r w:rsidR="009C41A2">
        <w:rPr>
          <w:color w:val="000000"/>
          <w:shd w:val="clear" w:color="auto" w:fill="FFFFFF"/>
        </w:rPr>
        <w:t xml:space="preserve">or maintain </w:t>
      </w:r>
      <w:r w:rsidR="007B1455" w:rsidRPr="00043589">
        <w:rPr>
          <w:color w:val="000000"/>
          <w:shd w:val="clear" w:color="auto" w:fill="FFFFFF"/>
        </w:rPr>
        <w:t xml:space="preserve">California hazelnut </w:t>
      </w:r>
      <w:r w:rsidR="009C41A2">
        <w:rPr>
          <w:color w:val="000000"/>
          <w:shd w:val="clear" w:color="auto" w:fill="FFFFFF"/>
        </w:rPr>
        <w:t>shrubs</w:t>
      </w:r>
      <w:r w:rsidR="007B1455" w:rsidRPr="00043589">
        <w:rPr>
          <w:color w:val="000000"/>
          <w:shd w:val="clear" w:color="auto" w:fill="FFFFFF"/>
        </w:rPr>
        <w:t xml:space="preserve"> alongside roads, trails, or </w:t>
      </w:r>
      <w:r w:rsidR="007B1455" w:rsidRPr="00043589">
        <w:rPr>
          <w:color w:val="000000"/>
          <w:shd w:val="clear" w:color="auto" w:fill="FFFFFF"/>
        </w:rPr>
        <w:lastRenderedPageBreak/>
        <w:t>in gardens in order to allow the shrubs to reach an advanced age and take advantage of the</w:t>
      </w:r>
      <w:r w:rsidR="00571845" w:rsidRPr="00043589">
        <w:rPr>
          <w:color w:val="000000"/>
          <w:shd w:val="clear" w:color="auto" w:fill="FFFFFF"/>
        </w:rPr>
        <w:t xml:space="preserve"> increased</w:t>
      </w:r>
      <w:r w:rsidR="007B1455" w:rsidRPr="00043589">
        <w:rPr>
          <w:color w:val="000000"/>
          <w:shd w:val="clear" w:color="auto" w:fill="FFFFFF"/>
        </w:rPr>
        <w:t xml:space="preserve"> solar acces</w:t>
      </w:r>
      <w:r w:rsidR="00571845" w:rsidRPr="00043589">
        <w:rPr>
          <w:color w:val="000000"/>
          <w:shd w:val="clear" w:color="auto" w:fill="FFFFFF"/>
        </w:rPr>
        <w:t>s these locations would impart upon them</w:t>
      </w:r>
      <w:r w:rsidR="007B1455" w:rsidRPr="00043589">
        <w:rPr>
          <w:color w:val="000000"/>
          <w:shd w:val="clear" w:color="auto" w:fill="FFFFFF"/>
        </w:rPr>
        <w:t>.</w:t>
      </w:r>
    </w:p>
    <w:p w14:paraId="5DCC0363" w14:textId="10DF3A8D" w:rsidR="00571845" w:rsidRPr="00043589" w:rsidRDefault="00571845" w:rsidP="007B1455">
      <w:pPr>
        <w:spacing w:line="480" w:lineRule="auto"/>
        <w:ind w:firstLine="360"/>
        <w:rPr>
          <w:color w:val="000000"/>
          <w:shd w:val="clear" w:color="auto" w:fill="FFFFFF"/>
        </w:rPr>
      </w:pPr>
      <w:r w:rsidRPr="00043589">
        <w:rPr>
          <w:color w:val="000000"/>
          <w:shd w:val="clear" w:color="auto" w:fill="FFFFFF"/>
        </w:rPr>
        <w:t>Controlled burns have great importance to the culture and well-being of native people. As wildfires become more frequent and severe in California due to climate change and fire suppression</w:t>
      </w:r>
      <w:r w:rsidR="009C41A2">
        <w:rPr>
          <w:color w:val="000000"/>
          <w:shd w:val="clear" w:color="auto" w:fill="FFFFFF"/>
        </w:rPr>
        <w:t xml:space="preserve"> (Calkin &amp; Finne</w:t>
      </w:r>
      <w:r w:rsidR="0056172E">
        <w:rPr>
          <w:color w:val="000000"/>
          <w:shd w:val="clear" w:color="auto" w:fill="FFFFFF"/>
        </w:rPr>
        <w:t>y, 2015) (</w:t>
      </w:r>
      <w:r w:rsidR="0056172E" w:rsidRPr="0056172E">
        <w:t>Abatzoglou</w:t>
      </w:r>
      <w:r w:rsidR="0056172E">
        <w:t>, 2016) (Westerling 2016)</w:t>
      </w:r>
      <w:r w:rsidRPr="00043589">
        <w:rPr>
          <w:color w:val="000000"/>
          <w:shd w:val="clear" w:color="auto" w:fill="FFFFFF"/>
        </w:rPr>
        <w:t xml:space="preserve">, it is becoming more important that controlled burns play a role in catastrophic wildfire mitigation. By framing </w:t>
      </w:r>
      <w:r w:rsidR="00E12E47" w:rsidRPr="00043589">
        <w:rPr>
          <w:color w:val="000000"/>
          <w:shd w:val="clear" w:color="auto" w:fill="FFFFFF"/>
        </w:rPr>
        <w:t>controlled burns</w:t>
      </w:r>
      <w:r w:rsidRPr="00043589">
        <w:rPr>
          <w:color w:val="000000"/>
          <w:shd w:val="clear" w:color="auto" w:fill="FFFFFF"/>
        </w:rPr>
        <w:t xml:space="preserve"> as both fuel reduction and eco-cultural </w:t>
      </w:r>
      <w:r w:rsidR="00E12E47" w:rsidRPr="00043589">
        <w:rPr>
          <w:color w:val="000000"/>
          <w:shd w:val="clear" w:color="auto" w:fill="FFFFFF"/>
        </w:rPr>
        <w:t>restoration, collaborative efforts between indigenous and non-indigenous government entities</w:t>
      </w:r>
      <w:r w:rsidR="00DC3D0E" w:rsidRPr="00043589">
        <w:rPr>
          <w:color w:val="000000"/>
          <w:shd w:val="clear" w:color="auto" w:fill="FFFFFF"/>
        </w:rPr>
        <w:t xml:space="preserve"> can benefit. In addition, social acceptance of fire is an important part of increasing its use in mitigating wildfires</w:t>
      </w:r>
      <w:r w:rsidR="0056172E">
        <w:rPr>
          <w:color w:val="000000"/>
          <w:shd w:val="clear" w:color="auto" w:fill="FFFFFF"/>
        </w:rPr>
        <w:t xml:space="preserve"> (Ryan et al, 2013)</w:t>
      </w:r>
      <w:r w:rsidR="00DC3D0E" w:rsidRPr="00043589">
        <w:rPr>
          <w:color w:val="000000"/>
          <w:shd w:val="clear" w:color="auto" w:fill="FFFFFF"/>
        </w:rPr>
        <w:t xml:space="preserve">. Framing fire as a way of improving cultural resources for indigenous people in California could help communicate the role of fire in ecosystem restorations in way that makes </w:t>
      </w:r>
      <w:r w:rsidR="00C551B2">
        <w:rPr>
          <w:color w:val="000000"/>
          <w:shd w:val="clear" w:color="auto" w:fill="FFFFFF"/>
        </w:rPr>
        <w:t xml:space="preserve">fire </w:t>
      </w:r>
      <w:r w:rsidR="00DC3D0E" w:rsidRPr="00043589">
        <w:rPr>
          <w:color w:val="000000"/>
          <w:shd w:val="clear" w:color="auto" w:fill="FFFFFF"/>
        </w:rPr>
        <w:t>seem less destructive.</w:t>
      </w:r>
    </w:p>
    <w:p w14:paraId="39966434" w14:textId="026237D3" w:rsidR="00D349E0" w:rsidRPr="00043589" w:rsidRDefault="00DC3D0E" w:rsidP="007B1455">
      <w:pPr>
        <w:spacing w:line="480" w:lineRule="auto"/>
        <w:ind w:firstLine="360"/>
        <w:rPr>
          <w:color w:val="000000"/>
          <w:shd w:val="clear" w:color="auto" w:fill="FFFFFF"/>
        </w:rPr>
      </w:pPr>
      <w:r w:rsidRPr="00043589">
        <w:rPr>
          <w:color w:val="000000"/>
          <w:shd w:val="clear" w:color="auto" w:fill="FFFFFF"/>
        </w:rPr>
        <w:t xml:space="preserve">Future research will need to analyze more broadly the relationship between eco-cultural resources and fire regimes, along with an assessment of the effect any controlled burns have on protecting property. Controlled burns, in order to be economically efficient in terms of generating value equal to the cost of conducting them need to affect multiple eco-cultural resources. The relationship between </w:t>
      </w:r>
      <w:r w:rsidR="00D13FAB" w:rsidRPr="00043589">
        <w:rPr>
          <w:color w:val="000000"/>
          <w:shd w:val="clear" w:color="auto" w:fill="FFFFFF"/>
        </w:rPr>
        <w:t>TSLF and solar access of individual shrubs demonstrates that burning creates more open canopy which</w:t>
      </w:r>
      <w:r w:rsidRPr="00043589">
        <w:rPr>
          <w:color w:val="000000"/>
          <w:shd w:val="clear" w:color="auto" w:fill="FFFFFF"/>
        </w:rPr>
        <w:t xml:space="preserve"> would</w:t>
      </w:r>
      <w:r w:rsidR="00D13FAB" w:rsidRPr="00043589">
        <w:rPr>
          <w:color w:val="000000"/>
          <w:shd w:val="clear" w:color="auto" w:fill="FFFFFF"/>
        </w:rPr>
        <w:t xml:space="preserve"> benefits understory shrubs </w:t>
      </w:r>
      <w:r w:rsidRPr="00043589">
        <w:rPr>
          <w:color w:val="000000"/>
          <w:shd w:val="clear" w:color="auto" w:fill="FFFFFF"/>
        </w:rPr>
        <w:t>other than California hazelnuts</w:t>
      </w:r>
      <w:r w:rsidR="00D13FAB" w:rsidRPr="00043589">
        <w:rPr>
          <w:color w:val="000000"/>
          <w:shd w:val="clear" w:color="auto" w:fill="FFFFFF"/>
        </w:rPr>
        <w:t>. Future studies should</w:t>
      </w:r>
      <w:r w:rsidRPr="00043589">
        <w:rPr>
          <w:color w:val="000000"/>
          <w:shd w:val="clear" w:color="auto" w:fill="FFFFFF"/>
        </w:rPr>
        <w:t xml:space="preserve"> also</w:t>
      </w:r>
      <w:r w:rsidR="00D13FAB" w:rsidRPr="00043589">
        <w:rPr>
          <w:color w:val="000000"/>
          <w:shd w:val="clear" w:color="auto" w:fill="FFFFFF"/>
        </w:rPr>
        <w:t xml:space="preserve"> address the relationship between TSLF and associated ecological community structure, espec</w:t>
      </w:r>
      <w:r w:rsidR="00C27557" w:rsidRPr="00043589">
        <w:rPr>
          <w:color w:val="000000"/>
          <w:shd w:val="clear" w:color="auto" w:fill="FFFFFF"/>
        </w:rPr>
        <w:t>ially those</w:t>
      </w:r>
      <w:r w:rsidR="00D13FAB" w:rsidRPr="00043589">
        <w:rPr>
          <w:color w:val="000000"/>
          <w:shd w:val="clear" w:color="auto" w:fill="FFFFFF"/>
        </w:rPr>
        <w:t xml:space="preserve"> community st</w:t>
      </w:r>
      <w:r w:rsidR="00B62A73" w:rsidRPr="00043589">
        <w:rPr>
          <w:color w:val="000000"/>
          <w:shd w:val="clear" w:color="auto" w:fill="FFFFFF"/>
        </w:rPr>
        <w:t>r</w:t>
      </w:r>
      <w:r w:rsidR="00D13FAB" w:rsidRPr="00043589">
        <w:rPr>
          <w:color w:val="000000"/>
          <w:shd w:val="clear" w:color="auto" w:fill="FFFFFF"/>
        </w:rPr>
        <w:t>u</w:t>
      </w:r>
      <w:r w:rsidR="00B62A73" w:rsidRPr="00043589">
        <w:rPr>
          <w:color w:val="000000"/>
          <w:shd w:val="clear" w:color="auto" w:fill="FFFFFF"/>
        </w:rPr>
        <w:t>ctures that both serve the forest conservation purpose wanted by the USFS and the cultural resource dense community structures wanted by indigenous people</w:t>
      </w:r>
      <w:r w:rsidR="006956AA" w:rsidRPr="00043589">
        <w:rPr>
          <w:color w:val="000000"/>
          <w:shd w:val="clear" w:color="auto" w:fill="FFFFFF"/>
        </w:rPr>
        <w:t>, such as California black oak woodlands</w:t>
      </w:r>
      <w:r w:rsidR="00B62A73" w:rsidRPr="00043589">
        <w:rPr>
          <w:color w:val="000000"/>
          <w:shd w:val="clear" w:color="auto" w:fill="FFFFFF"/>
        </w:rPr>
        <w:t xml:space="preserve">. </w:t>
      </w:r>
    </w:p>
    <w:p w14:paraId="76B284C1" w14:textId="738766E7" w:rsidR="0031460A" w:rsidRPr="00043589" w:rsidRDefault="00D349E0" w:rsidP="00DC3D0E">
      <w:pPr>
        <w:pStyle w:val="NormalWeb"/>
        <w:spacing w:before="0" w:beforeAutospacing="0" w:after="0" w:afterAutospacing="0" w:line="480" w:lineRule="auto"/>
        <w:ind w:firstLine="360"/>
        <w:rPr>
          <w:color w:val="000000"/>
        </w:rPr>
      </w:pPr>
      <w:r w:rsidRPr="00043589">
        <w:rPr>
          <w:color w:val="000000"/>
        </w:rPr>
        <w:lastRenderedPageBreak/>
        <w:t>Much of the research done on the relationship between indigenous people and their environment is conducted with the goal of determining how indigenous and non-indigenous governance structures can coequally manage resources in order to achieve shared goals. Based on analyses of attempts to include indigenous people in natural resource management projects, the most effective way to encourage indigenous participation is to empower their communities to be able to act in a co-equal manner to the nation states they exist within</w:t>
      </w:r>
      <w:r w:rsidR="0094492E">
        <w:rPr>
          <w:color w:val="000000"/>
        </w:rPr>
        <w:t xml:space="preserve"> (Mistry, 2019)</w:t>
      </w:r>
      <w:r w:rsidRPr="00043589">
        <w:rPr>
          <w:color w:val="000000"/>
        </w:rPr>
        <w:t>. Empowerment consists of supporting the social cohesion, cultural continuity, and traditional lifeways of indigenous people. One component of empowerment is to conduct research with the intent of delivering information pertinent to the objectives of indigenous people rather than the objectives of the overarching nation-state</w:t>
      </w:r>
      <w:r w:rsidR="006956AA" w:rsidRPr="00043589">
        <w:rPr>
          <w:color w:val="000000"/>
        </w:rPr>
        <w:t xml:space="preserve"> (Mistry et al., 2016)</w:t>
      </w:r>
      <w:r w:rsidRPr="00043589">
        <w:rPr>
          <w:color w:val="000000"/>
        </w:rPr>
        <w:t>.</w:t>
      </w:r>
      <w:r w:rsidR="006956AA" w:rsidRPr="00043589">
        <w:rPr>
          <w:color w:val="000000"/>
        </w:rPr>
        <w:t xml:space="preserve"> To this end all future research will need to be conducted with respect for Indigenous knowledges, Indigenous control of knowledge mobilization, intergenerational involvement of the Indigenous community at hand, respect for self-determination of Indigenous people, continuous cross-cultural education, and early involvement of the Indigenous community in the research, as these components of mutually beneficial research are identified as being extremely important when working with Indigenous communities (Reo, 2017).</w:t>
      </w:r>
    </w:p>
    <w:p w14:paraId="1CF0A9FC" w14:textId="77777777" w:rsidR="0031460A" w:rsidRPr="00043589" w:rsidRDefault="0031460A" w:rsidP="00644C60">
      <w:pPr>
        <w:spacing w:line="480" w:lineRule="auto"/>
        <w:ind w:firstLine="720"/>
        <w:rPr>
          <w:color w:val="000000"/>
          <w:shd w:val="clear" w:color="auto" w:fill="FFFFFF"/>
        </w:rPr>
      </w:pPr>
    </w:p>
    <w:p w14:paraId="7FC93A9D" w14:textId="77777777" w:rsidR="00B57AAC" w:rsidRPr="00043589" w:rsidRDefault="00B57AAC" w:rsidP="002E18C1">
      <w:pPr>
        <w:spacing w:line="480" w:lineRule="auto"/>
        <w:rPr>
          <w:color w:val="000000"/>
          <w:shd w:val="clear" w:color="auto" w:fill="FFFFFF"/>
        </w:rPr>
      </w:pPr>
    </w:p>
    <w:p w14:paraId="7E4C8E1B" w14:textId="4CAFA1DC" w:rsidR="00526DAB" w:rsidRPr="00043589" w:rsidRDefault="00526DAB" w:rsidP="002E18C1">
      <w:pPr>
        <w:spacing w:line="480" w:lineRule="auto"/>
        <w:rPr>
          <w:color w:val="000000"/>
          <w:shd w:val="clear" w:color="auto" w:fill="FFFFFF"/>
        </w:rPr>
      </w:pPr>
    </w:p>
    <w:p w14:paraId="10A6B94E" w14:textId="77777777" w:rsidR="00D349E0" w:rsidRPr="00043589" w:rsidRDefault="00D349E0" w:rsidP="00D349E0">
      <w:pPr>
        <w:spacing w:line="480" w:lineRule="auto"/>
        <w:rPr>
          <w:color w:val="000000"/>
          <w:shd w:val="clear" w:color="auto" w:fill="FFFFFF"/>
        </w:rPr>
      </w:pPr>
    </w:p>
    <w:p w14:paraId="212E5CFB" w14:textId="77777777" w:rsidR="007E1575" w:rsidRDefault="007E1575" w:rsidP="009C41A2">
      <w:pPr>
        <w:spacing w:line="480" w:lineRule="auto"/>
        <w:rPr>
          <w:b/>
          <w:bCs/>
          <w:color w:val="000000"/>
          <w:shd w:val="clear" w:color="auto" w:fill="FFFFFF"/>
        </w:rPr>
      </w:pPr>
    </w:p>
    <w:p w14:paraId="78D42385" w14:textId="77777777" w:rsidR="00011415" w:rsidRDefault="00011415" w:rsidP="00E866BF">
      <w:pPr>
        <w:spacing w:line="480" w:lineRule="auto"/>
        <w:jc w:val="center"/>
        <w:rPr>
          <w:b/>
          <w:bCs/>
          <w:color w:val="000000"/>
          <w:shd w:val="clear" w:color="auto" w:fill="FFFFFF"/>
        </w:rPr>
      </w:pPr>
    </w:p>
    <w:p w14:paraId="645F14A5" w14:textId="77777777" w:rsidR="00011415" w:rsidRDefault="00011415" w:rsidP="00C551B2">
      <w:pPr>
        <w:spacing w:line="480" w:lineRule="auto"/>
        <w:rPr>
          <w:b/>
          <w:bCs/>
          <w:color w:val="000000"/>
          <w:shd w:val="clear" w:color="auto" w:fill="FFFFFF"/>
        </w:rPr>
      </w:pPr>
    </w:p>
    <w:p w14:paraId="7AB880CD" w14:textId="3397DF52" w:rsidR="00B57AAC" w:rsidRPr="00043589" w:rsidRDefault="00B57AAC" w:rsidP="00E866BF">
      <w:pPr>
        <w:spacing w:line="480" w:lineRule="auto"/>
        <w:jc w:val="center"/>
        <w:rPr>
          <w:b/>
          <w:bCs/>
          <w:color w:val="000000"/>
          <w:shd w:val="clear" w:color="auto" w:fill="FFFFFF"/>
        </w:rPr>
      </w:pPr>
      <w:r w:rsidRPr="00043589">
        <w:rPr>
          <w:b/>
          <w:bCs/>
          <w:color w:val="000000"/>
          <w:shd w:val="clear" w:color="auto" w:fill="FFFFFF"/>
        </w:rPr>
        <w:lastRenderedPageBreak/>
        <w:t>Figures</w:t>
      </w:r>
    </w:p>
    <w:tbl>
      <w:tblPr>
        <w:tblStyle w:val="TableGrid"/>
        <w:tblW w:w="0" w:type="auto"/>
        <w:jc w:val="center"/>
        <w:tblLook w:val="04A0" w:firstRow="1" w:lastRow="0" w:firstColumn="1" w:lastColumn="0" w:noHBand="0" w:noVBand="1"/>
      </w:tblPr>
      <w:tblGrid>
        <w:gridCol w:w="2245"/>
        <w:gridCol w:w="1495"/>
        <w:gridCol w:w="1870"/>
        <w:gridCol w:w="1870"/>
      </w:tblGrid>
      <w:tr w:rsidR="00526DAB" w:rsidRPr="00043589" w14:paraId="644BB71E" w14:textId="77777777" w:rsidTr="00644C60">
        <w:trPr>
          <w:jc w:val="center"/>
        </w:trPr>
        <w:tc>
          <w:tcPr>
            <w:tcW w:w="7480" w:type="dxa"/>
            <w:gridSpan w:val="4"/>
          </w:tcPr>
          <w:p w14:paraId="36B8A2D6" w14:textId="5D1BD23D" w:rsidR="00526DAB" w:rsidRPr="00043589" w:rsidRDefault="00526DAB" w:rsidP="00526DAB">
            <w:pPr>
              <w:spacing w:line="480" w:lineRule="auto"/>
              <w:jc w:val="center"/>
              <w:rPr>
                <w:color w:val="000000"/>
                <w:shd w:val="clear" w:color="auto" w:fill="FFFFFF"/>
              </w:rPr>
            </w:pPr>
            <w:r w:rsidRPr="00043589">
              <w:rPr>
                <w:color w:val="000000"/>
                <w:shd w:val="clear" w:color="auto" w:fill="FFFFFF"/>
              </w:rPr>
              <w:t>Table 1</w:t>
            </w:r>
          </w:p>
        </w:tc>
      </w:tr>
      <w:tr w:rsidR="00AD3D9D" w:rsidRPr="00043589" w14:paraId="68AD507F" w14:textId="77777777" w:rsidTr="00AD3D9D">
        <w:trPr>
          <w:jc w:val="center"/>
        </w:trPr>
        <w:tc>
          <w:tcPr>
            <w:tcW w:w="2245" w:type="dxa"/>
          </w:tcPr>
          <w:p w14:paraId="3097B4E7" w14:textId="7B8F4562" w:rsidR="00AD3D9D" w:rsidRPr="00043589" w:rsidRDefault="00AD3D9D" w:rsidP="002E18C1">
            <w:pPr>
              <w:spacing w:line="480" w:lineRule="auto"/>
              <w:rPr>
                <w:color w:val="000000"/>
                <w:shd w:val="clear" w:color="auto" w:fill="FFFFFF"/>
              </w:rPr>
            </w:pPr>
            <w:r w:rsidRPr="00043589">
              <w:rPr>
                <w:color w:val="000000"/>
                <w:shd w:val="clear" w:color="auto" w:fill="FFFFFF"/>
              </w:rPr>
              <w:t>Variables</w:t>
            </w:r>
          </w:p>
        </w:tc>
        <w:tc>
          <w:tcPr>
            <w:tcW w:w="1495" w:type="dxa"/>
          </w:tcPr>
          <w:p w14:paraId="4703DF47" w14:textId="0E00076C" w:rsidR="00AD3D9D" w:rsidRPr="00043589" w:rsidRDefault="00AD3D9D" w:rsidP="00894011">
            <w:r w:rsidRPr="00043589">
              <w:t>χ2</w:t>
            </w:r>
          </w:p>
        </w:tc>
        <w:tc>
          <w:tcPr>
            <w:tcW w:w="1870" w:type="dxa"/>
          </w:tcPr>
          <w:p w14:paraId="7A998D11" w14:textId="4097F17C" w:rsidR="00AD3D9D" w:rsidRPr="00043589" w:rsidRDefault="00AD3D9D" w:rsidP="002E18C1">
            <w:pPr>
              <w:spacing w:line="480" w:lineRule="auto"/>
              <w:rPr>
                <w:color w:val="000000"/>
                <w:shd w:val="clear" w:color="auto" w:fill="FFFFFF"/>
              </w:rPr>
            </w:pPr>
            <w:r w:rsidRPr="00043589">
              <w:rPr>
                <w:color w:val="000000"/>
                <w:shd w:val="clear" w:color="auto" w:fill="FFFFFF"/>
              </w:rPr>
              <w:t>Df</w:t>
            </w:r>
          </w:p>
        </w:tc>
        <w:tc>
          <w:tcPr>
            <w:tcW w:w="1870" w:type="dxa"/>
          </w:tcPr>
          <w:p w14:paraId="6FC5C30D" w14:textId="0CDFC122" w:rsidR="00AD3D9D" w:rsidRPr="00043589" w:rsidRDefault="00CD1131" w:rsidP="002E18C1">
            <w:pPr>
              <w:spacing w:line="480" w:lineRule="auto"/>
              <w:rPr>
                <w:color w:val="000000"/>
                <w:shd w:val="clear" w:color="auto" w:fill="FFFFFF"/>
              </w:rPr>
            </w:pPr>
            <w:r w:rsidRPr="00043589">
              <w:rPr>
                <w:color w:val="000000"/>
                <w:shd w:val="clear" w:color="auto" w:fill="FFFFFF"/>
              </w:rPr>
              <w:t>P(</w:t>
            </w:r>
            <w:r w:rsidR="00AD3D9D" w:rsidRPr="00043589">
              <w:rPr>
                <w:color w:val="000000"/>
                <w:shd w:val="clear" w:color="auto" w:fill="FFFFFF"/>
              </w:rPr>
              <w:t>&gt;|</w:t>
            </w:r>
            <w:r w:rsidR="00AD3D9D" w:rsidRPr="00043589">
              <w:t>χ2|</w:t>
            </w:r>
            <w:r w:rsidRPr="00043589">
              <w:t>)</w:t>
            </w:r>
          </w:p>
        </w:tc>
      </w:tr>
      <w:tr w:rsidR="00AD3D9D" w:rsidRPr="00043589" w14:paraId="5A0A4980" w14:textId="77777777" w:rsidTr="00AD3D9D">
        <w:trPr>
          <w:jc w:val="center"/>
        </w:trPr>
        <w:tc>
          <w:tcPr>
            <w:tcW w:w="2245" w:type="dxa"/>
          </w:tcPr>
          <w:p w14:paraId="3F3E374D" w14:textId="2A2618EC" w:rsidR="00AD3D9D" w:rsidRPr="00043589" w:rsidRDefault="00AD3D9D" w:rsidP="002E18C1">
            <w:pPr>
              <w:spacing w:line="480" w:lineRule="auto"/>
              <w:rPr>
                <w:color w:val="000000"/>
                <w:shd w:val="clear" w:color="auto" w:fill="FFFFFF"/>
              </w:rPr>
            </w:pPr>
            <w:r w:rsidRPr="00043589">
              <w:rPr>
                <w:color w:val="000000"/>
                <w:shd w:val="clear" w:color="auto" w:fill="FFFFFF"/>
              </w:rPr>
              <w:t>Stems</w:t>
            </w:r>
          </w:p>
        </w:tc>
        <w:tc>
          <w:tcPr>
            <w:tcW w:w="1495" w:type="dxa"/>
          </w:tcPr>
          <w:p w14:paraId="50DC512D" w14:textId="763DB513" w:rsidR="00AD3D9D" w:rsidRPr="00043589" w:rsidRDefault="00AD3D9D" w:rsidP="002E18C1">
            <w:pPr>
              <w:spacing w:line="480" w:lineRule="auto"/>
              <w:rPr>
                <w:color w:val="000000"/>
                <w:shd w:val="clear" w:color="auto" w:fill="FFFFFF"/>
              </w:rPr>
            </w:pPr>
            <w:r w:rsidRPr="00043589">
              <w:rPr>
                <w:color w:val="000000"/>
                <w:shd w:val="clear" w:color="auto" w:fill="FFFFFF"/>
              </w:rPr>
              <w:t>77.171</w:t>
            </w:r>
          </w:p>
        </w:tc>
        <w:tc>
          <w:tcPr>
            <w:tcW w:w="1870" w:type="dxa"/>
          </w:tcPr>
          <w:p w14:paraId="2F22FAC6" w14:textId="32BC58B4" w:rsidR="00AD3D9D" w:rsidRPr="00043589" w:rsidRDefault="00AD3D9D" w:rsidP="002E18C1">
            <w:pPr>
              <w:spacing w:line="480" w:lineRule="auto"/>
              <w:rPr>
                <w:color w:val="000000"/>
                <w:shd w:val="clear" w:color="auto" w:fill="FFFFFF"/>
              </w:rPr>
            </w:pPr>
            <w:r w:rsidRPr="00043589">
              <w:rPr>
                <w:color w:val="000000"/>
                <w:shd w:val="clear" w:color="auto" w:fill="FFFFFF"/>
              </w:rPr>
              <w:t>1</w:t>
            </w:r>
          </w:p>
        </w:tc>
        <w:tc>
          <w:tcPr>
            <w:tcW w:w="1870" w:type="dxa"/>
          </w:tcPr>
          <w:p w14:paraId="6BFB4615" w14:textId="57624BA6" w:rsidR="00AD3D9D" w:rsidRPr="00043589" w:rsidRDefault="00AD3D9D" w:rsidP="002E18C1">
            <w:pPr>
              <w:spacing w:line="480" w:lineRule="auto"/>
              <w:rPr>
                <w:color w:val="000000"/>
                <w:shd w:val="clear" w:color="auto" w:fill="FFFFFF"/>
              </w:rPr>
            </w:pPr>
            <w:r w:rsidRPr="00043589">
              <w:rPr>
                <w:color w:val="000000"/>
                <w:shd w:val="clear" w:color="auto" w:fill="FFFFFF"/>
              </w:rPr>
              <w:t>0</w:t>
            </w:r>
            <w:r w:rsidR="00526DAB" w:rsidRPr="00043589">
              <w:rPr>
                <w:color w:val="000000"/>
                <w:shd w:val="clear" w:color="auto" w:fill="FFFFFF"/>
              </w:rPr>
              <w:t>.000</w:t>
            </w:r>
          </w:p>
        </w:tc>
      </w:tr>
      <w:tr w:rsidR="00AD3D9D" w:rsidRPr="00043589" w14:paraId="482DD757" w14:textId="77777777" w:rsidTr="00AD3D9D">
        <w:trPr>
          <w:jc w:val="center"/>
        </w:trPr>
        <w:tc>
          <w:tcPr>
            <w:tcW w:w="2245" w:type="dxa"/>
          </w:tcPr>
          <w:p w14:paraId="57B2AA56" w14:textId="32001E31" w:rsidR="00AD3D9D" w:rsidRPr="00043589" w:rsidRDefault="00AD3D9D" w:rsidP="002E18C1">
            <w:pPr>
              <w:spacing w:line="480" w:lineRule="auto"/>
              <w:rPr>
                <w:color w:val="000000"/>
                <w:shd w:val="clear" w:color="auto" w:fill="FFFFFF"/>
              </w:rPr>
            </w:pPr>
            <w:r w:rsidRPr="00043589">
              <w:rPr>
                <w:color w:val="000000"/>
                <w:shd w:val="clear" w:color="auto" w:fill="FFFFFF"/>
              </w:rPr>
              <w:t>Stem Diameter</w:t>
            </w:r>
          </w:p>
        </w:tc>
        <w:tc>
          <w:tcPr>
            <w:tcW w:w="1495" w:type="dxa"/>
          </w:tcPr>
          <w:p w14:paraId="7C3D823A" w14:textId="7C6C76E0" w:rsidR="00AD3D9D" w:rsidRPr="00043589" w:rsidRDefault="00AD3D9D" w:rsidP="002E18C1">
            <w:pPr>
              <w:spacing w:line="480" w:lineRule="auto"/>
              <w:rPr>
                <w:color w:val="000000"/>
                <w:shd w:val="clear" w:color="auto" w:fill="FFFFFF"/>
              </w:rPr>
            </w:pPr>
            <w:r w:rsidRPr="00043589">
              <w:rPr>
                <w:color w:val="000000"/>
                <w:shd w:val="clear" w:color="auto" w:fill="FFFFFF"/>
              </w:rPr>
              <w:t>85.464</w:t>
            </w:r>
          </w:p>
        </w:tc>
        <w:tc>
          <w:tcPr>
            <w:tcW w:w="1870" w:type="dxa"/>
          </w:tcPr>
          <w:p w14:paraId="5EB9D4DE" w14:textId="29B8FD1C" w:rsidR="00AD3D9D" w:rsidRPr="00043589" w:rsidRDefault="00AD3D9D" w:rsidP="002E18C1">
            <w:pPr>
              <w:spacing w:line="480" w:lineRule="auto"/>
              <w:rPr>
                <w:color w:val="000000"/>
                <w:shd w:val="clear" w:color="auto" w:fill="FFFFFF"/>
              </w:rPr>
            </w:pPr>
            <w:r w:rsidRPr="00043589">
              <w:rPr>
                <w:color w:val="000000"/>
                <w:shd w:val="clear" w:color="auto" w:fill="FFFFFF"/>
              </w:rPr>
              <w:t>1</w:t>
            </w:r>
          </w:p>
        </w:tc>
        <w:tc>
          <w:tcPr>
            <w:tcW w:w="1870" w:type="dxa"/>
          </w:tcPr>
          <w:p w14:paraId="1A2834C6" w14:textId="3F2A408D" w:rsidR="00AD3D9D" w:rsidRPr="00043589" w:rsidRDefault="00AD3D9D" w:rsidP="002E18C1">
            <w:pPr>
              <w:spacing w:line="480" w:lineRule="auto"/>
              <w:rPr>
                <w:color w:val="000000"/>
                <w:shd w:val="clear" w:color="auto" w:fill="FFFFFF"/>
              </w:rPr>
            </w:pPr>
            <w:r w:rsidRPr="00043589">
              <w:rPr>
                <w:color w:val="000000"/>
                <w:shd w:val="clear" w:color="auto" w:fill="FFFFFF"/>
              </w:rPr>
              <w:t>0</w:t>
            </w:r>
            <w:r w:rsidR="00526DAB" w:rsidRPr="00043589">
              <w:rPr>
                <w:color w:val="000000"/>
                <w:shd w:val="clear" w:color="auto" w:fill="FFFFFF"/>
              </w:rPr>
              <w:t>.000</w:t>
            </w:r>
          </w:p>
        </w:tc>
      </w:tr>
      <w:tr w:rsidR="00AD3D9D" w:rsidRPr="00043589" w14:paraId="1761F3B6" w14:textId="77777777" w:rsidTr="00AD3D9D">
        <w:trPr>
          <w:jc w:val="center"/>
        </w:trPr>
        <w:tc>
          <w:tcPr>
            <w:tcW w:w="2245" w:type="dxa"/>
          </w:tcPr>
          <w:p w14:paraId="21AB0185" w14:textId="13E97A60" w:rsidR="00AD3D9D" w:rsidRPr="00043589" w:rsidRDefault="00AD3D9D" w:rsidP="002E18C1">
            <w:pPr>
              <w:spacing w:line="480" w:lineRule="auto"/>
              <w:rPr>
                <w:color w:val="000000"/>
                <w:shd w:val="clear" w:color="auto" w:fill="FFFFFF"/>
              </w:rPr>
            </w:pPr>
            <w:r w:rsidRPr="00043589">
              <w:rPr>
                <w:color w:val="000000"/>
                <w:shd w:val="clear" w:color="auto" w:fill="FFFFFF"/>
              </w:rPr>
              <w:t>Solar Access</w:t>
            </w:r>
          </w:p>
        </w:tc>
        <w:tc>
          <w:tcPr>
            <w:tcW w:w="1495" w:type="dxa"/>
          </w:tcPr>
          <w:p w14:paraId="386607C9" w14:textId="0A2AC29D" w:rsidR="00AD3D9D" w:rsidRPr="00043589" w:rsidRDefault="00AD3D9D" w:rsidP="002E18C1">
            <w:pPr>
              <w:spacing w:line="480" w:lineRule="auto"/>
              <w:rPr>
                <w:color w:val="000000"/>
                <w:shd w:val="clear" w:color="auto" w:fill="FFFFFF"/>
              </w:rPr>
            </w:pPr>
            <w:r w:rsidRPr="00043589">
              <w:rPr>
                <w:color w:val="000000"/>
                <w:shd w:val="clear" w:color="auto" w:fill="FFFFFF"/>
              </w:rPr>
              <w:t>45.476</w:t>
            </w:r>
          </w:p>
        </w:tc>
        <w:tc>
          <w:tcPr>
            <w:tcW w:w="1870" w:type="dxa"/>
          </w:tcPr>
          <w:p w14:paraId="3D4573E6" w14:textId="38D2D5B1" w:rsidR="00AD3D9D" w:rsidRPr="00043589" w:rsidRDefault="00AD3D9D" w:rsidP="002E18C1">
            <w:pPr>
              <w:spacing w:line="480" w:lineRule="auto"/>
              <w:rPr>
                <w:color w:val="000000"/>
                <w:shd w:val="clear" w:color="auto" w:fill="FFFFFF"/>
              </w:rPr>
            </w:pPr>
            <w:r w:rsidRPr="00043589">
              <w:rPr>
                <w:color w:val="000000"/>
                <w:shd w:val="clear" w:color="auto" w:fill="FFFFFF"/>
              </w:rPr>
              <w:t>1</w:t>
            </w:r>
          </w:p>
        </w:tc>
        <w:tc>
          <w:tcPr>
            <w:tcW w:w="1870" w:type="dxa"/>
          </w:tcPr>
          <w:p w14:paraId="2C7C1C24" w14:textId="56810E99" w:rsidR="00AD3D9D" w:rsidRPr="00043589" w:rsidRDefault="00AD3D9D" w:rsidP="002E18C1">
            <w:pPr>
              <w:spacing w:line="480" w:lineRule="auto"/>
              <w:rPr>
                <w:color w:val="000000"/>
                <w:shd w:val="clear" w:color="auto" w:fill="FFFFFF"/>
              </w:rPr>
            </w:pPr>
            <w:r w:rsidRPr="00043589">
              <w:rPr>
                <w:color w:val="000000"/>
                <w:shd w:val="clear" w:color="auto" w:fill="FFFFFF"/>
              </w:rPr>
              <w:t>0</w:t>
            </w:r>
            <w:r w:rsidR="00526DAB" w:rsidRPr="00043589">
              <w:rPr>
                <w:color w:val="000000"/>
                <w:shd w:val="clear" w:color="auto" w:fill="FFFFFF"/>
              </w:rPr>
              <w:t>.000</w:t>
            </w:r>
          </w:p>
        </w:tc>
      </w:tr>
      <w:tr w:rsidR="00AD3D9D" w:rsidRPr="00043589" w14:paraId="14ED35D7" w14:textId="77777777" w:rsidTr="00AD3D9D">
        <w:trPr>
          <w:jc w:val="center"/>
        </w:trPr>
        <w:tc>
          <w:tcPr>
            <w:tcW w:w="2245" w:type="dxa"/>
          </w:tcPr>
          <w:p w14:paraId="23CF47B7" w14:textId="2F44552D" w:rsidR="00AD3D9D" w:rsidRPr="00043589" w:rsidRDefault="00AD3D9D" w:rsidP="002E18C1">
            <w:pPr>
              <w:spacing w:line="480" w:lineRule="auto"/>
              <w:rPr>
                <w:color w:val="000000"/>
                <w:shd w:val="clear" w:color="auto" w:fill="FFFFFF"/>
              </w:rPr>
            </w:pPr>
            <w:r w:rsidRPr="00043589">
              <w:rPr>
                <w:color w:val="000000"/>
                <w:shd w:val="clear" w:color="auto" w:fill="FFFFFF"/>
              </w:rPr>
              <w:t>TSLF</w:t>
            </w:r>
          </w:p>
        </w:tc>
        <w:tc>
          <w:tcPr>
            <w:tcW w:w="1495" w:type="dxa"/>
          </w:tcPr>
          <w:p w14:paraId="61FEEC9A" w14:textId="5CCDAAF9" w:rsidR="00AD3D9D" w:rsidRPr="00043589" w:rsidRDefault="00AD3D9D" w:rsidP="002E18C1">
            <w:pPr>
              <w:spacing w:line="480" w:lineRule="auto"/>
              <w:rPr>
                <w:color w:val="000000"/>
                <w:shd w:val="clear" w:color="auto" w:fill="FFFFFF"/>
              </w:rPr>
            </w:pPr>
            <w:r w:rsidRPr="00043589">
              <w:rPr>
                <w:color w:val="000000"/>
                <w:shd w:val="clear" w:color="auto" w:fill="FFFFFF"/>
              </w:rPr>
              <w:t>18.273</w:t>
            </w:r>
          </w:p>
        </w:tc>
        <w:tc>
          <w:tcPr>
            <w:tcW w:w="1870" w:type="dxa"/>
          </w:tcPr>
          <w:p w14:paraId="0BC7C7D6" w14:textId="749467E6" w:rsidR="00AD3D9D" w:rsidRPr="00043589" w:rsidRDefault="00AD3D9D" w:rsidP="002E18C1">
            <w:pPr>
              <w:spacing w:line="480" w:lineRule="auto"/>
              <w:rPr>
                <w:color w:val="000000"/>
                <w:shd w:val="clear" w:color="auto" w:fill="FFFFFF"/>
              </w:rPr>
            </w:pPr>
            <w:r w:rsidRPr="00043589">
              <w:rPr>
                <w:color w:val="000000"/>
                <w:shd w:val="clear" w:color="auto" w:fill="FFFFFF"/>
              </w:rPr>
              <w:t>3</w:t>
            </w:r>
          </w:p>
        </w:tc>
        <w:tc>
          <w:tcPr>
            <w:tcW w:w="1870" w:type="dxa"/>
          </w:tcPr>
          <w:p w14:paraId="0A4A01D6" w14:textId="21F9AFA2" w:rsidR="00AD3D9D" w:rsidRPr="00043589" w:rsidRDefault="00AD3D9D" w:rsidP="002E18C1">
            <w:pPr>
              <w:spacing w:line="480" w:lineRule="auto"/>
              <w:rPr>
                <w:color w:val="000000"/>
                <w:shd w:val="clear" w:color="auto" w:fill="FFFFFF"/>
              </w:rPr>
            </w:pPr>
            <w:r w:rsidRPr="00043589">
              <w:rPr>
                <w:color w:val="000000"/>
                <w:shd w:val="clear" w:color="auto" w:fill="FFFFFF"/>
              </w:rPr>
              <w:t>0</w:t>
            </w:r>
            <w:r w:rsidR="00526DAB" w:rsidRPr="00043589">
              <w:rPr>
                <w:color w:val="000000"/>
                <w:shd w:val="clear" w:color="auto" w:fill="FFFFFF"/>
              </w:rPr>
              <w:t>.000</w:t>
            </w:r>
          </w:p>
        </w:tc>
      </w:tr>
      <w:tr w:rsidR="00AD3D9D" w:rsidRPr="00043589" w14:paraId="0D662EAB" w14:textId="77777777" w:rsidTr="00AD3D9D">
        <w:trPr>
          <w:jc w:val="center"/>
        </w:trPr>
        <w:tc>
          <w:tcPr>
            <w:tcW w:w="2245" w:type="dxa"/>
          </w:tcPr>
          <w:p w14:paraId="6B3725C3" w14:textId="3B3D7253" w:rsidR="00AD3D9D" w:rsidRPr="00043589" w:rsidRDefault="00AD3D9D" w:rsidP="002E18C1">
            <w:pPr>
              <w:spacing w:line="480" w:lineRule="auto"/>
              <w:rPr>
                <w:color w:val="000000"/>
                <w:shd w:val="clear" w:color="auto" w:fill="FFFFFF"/>
              </w:rPr>
            </w:pPr>
            <w:r w:rsidRPr="00043589">
              <w:rPr>
                <w:color w:val="000000"/>
                <w:shd w:val="clear" w:color="auto" w:fill="FFFFFF"/>
              </w:rPr>
              <w:t>TSLF*Solar Access</w:t>
            </w:r>
          </w:p>
        </w:tc>
        <w:tc>
          <w:tcPr>
            <w:tcW w:w="1495" w:type="dxa"/>
          </w:tcPr>
          <w:p w14:paraId="3DB08D92" w14:textId="79F800C2" w:rsidR="00AD3D9D" w:rsidRPr="00043589" w:rsidRDefault="00AD3D9D" w:rsidP="002E18C1">
            <w:pPr>
              <w:spacing w:line="480" w:lineRule="auto"/>
              <w:rPr>
                <w:color w:val="000000"/>
                <w:shd w:val="clear" w:color="auto" w:fill="FFFFFF"/>
              </w:rPr>
            </w:pPr>
            <w:r w:rsidRPr="00043589">
              <w:rPr>
                <w:color w:val="000000"/>
                <w:shd w:val="clear" w:color="auto" w:fill="FFFFFF"/>
              </w:rPr>
              <w:t>14.983</w:t>
            </w:r>
          </w:p>
        </w:tc>
        <w:tc>
          <w:tcPr>
            <w:tcW w:w="1870" w:type="dxa"/>
          </w:tcPr>
          <w:p w14:paraId="3933EAE3" w14:textId="7C62E30E" w:rsidR="00AD3D9D" w:rsidRPr="00043589" w:rsidRDefault="00AD3D9D" w:rsidP="002E18C1">
            <w:pPr>
              <w:spacing w:line="480" w:lineRule="auto"/>
              <w:rPr>
                <w:color w:val="000000"/>
                <w:shd w:val="clear" w:color="auto" w:fill="FFFFFF"/>
              </w:rPr>
            </w:pPr>
            <w:r w:rsidRPr="00043589">
              <w:rPr>
                <w:color w:val="000000"/>
                <w:shd w:val="clear" w:color="auto" w:fill="FFFFFF"/>
              </w:rPr>
              <w:t>3</w:t>
            </w:r>
          </w:p>
        </w:tc>
        <w:tc>
          <w:tcPr>
            <w:tcW w:w="1870" w:type="dxa"/>
          </w:tcPr>
          <w:p w14:paraId="17C6DFEF" w14:textId="48DD1911" w:rsidR="00AD3D9D" w:rsidRPr="00043589" w:rsidRDefault="00AD3D9D" w:rsidP="002E18C1">
            <w:pPr>
              <w:spacing w:line="480" w:lineRule="auto"/>
              <w:rPr>
                <w:color w:val="000000"/>
                <w:shd w:val="clear" w:color="auto" w:fill="FFFFFF"/>
              </w:rPr>
            </w:pPr>
            <w:r w:rsidRPr="00043589">
              <w:rPr>
                <w:color w:val="000000"/>
                <w:shd w:val="clear" w:color="auto" w:fill="FFFFFF"/>
              </w:rPr>
              <w:t>0.00</w:t>
            </w:r>
            <w:r w:rsidR="00526DAB" w:rsidRPr="00043589">
              <w:rPr>
                <w:color w:val="000000"/>
                <w:shd w:val="clear" w:color="auto" w:fill="FFFFFF"/>
              </w:rPr>
              <w:t>2</w:t>
            </w:r>
          </w:p>
        </w:tc>
      </w:tr>
      <w:tr w:rsidR="00526DAB" w:rsidRPr="00043589" w14:paraId="551B85D3" w14:textId="77777777" w:rsidTr="00644C60">
        <w:trPr>
          <w:jc w:val="center"/>
        </w:trPr>
        <w:tc>
          <w:tcPr>
            <w:tcW w:w="7480" w:type="dxa"/>
            <w:gridSpan w:val="4"/>
          </w:tcPr>
          <w:p w14:paraId="7C3D420A" w14:textId="6A5E84EE" w:rsidR="00526DAB" w:rsidRPr="00043589" w:rsidRDefault="00526DAB" w:rsidP="00526DAB">
            <w:r w:rsidRPr="00043589">
              <w:t>Results of a Wald Type III Chi Square test on the significance of variables affecting nut production. Precipitation, elevation, and slope were all found to have a non-significant effect (p &gt; 0.05) on nut production.</w:t>
            </w:r>
          </w:p>
        </w:tc>
      </w:tr>
    </w:tbl>
    <w:p w14:paraId="2BA018B1" w14:textId="414FF24A" w:rsidR="00070451" w:rsidRPr="00043589" w:rsidRDefault="00070451" w:rsidP="00526DAB">
      <w:pPr>
        <w:spacing w:line="480" w:lineRule="auto"/>
        <w:rPr>
          <w:color w:val="000000"/>
          <w:shd w:val="clear" w:color="auto" w:fill="FFFFFF"/>
        </w:rPr>
      </w:pPr>
    </w:p>
    <w:tbl>
      <w:tblPr>
        <w:tblStyle w:val="TableGrid"/>
        <w:tblW w:w="0" w:type="auto"/>
        <w:jc w:val="center"/>
        <w:tblLook w:val="04A0" w:firstRow="1" w:lastRow="0" w:firstColumn="1" w:lastColumn="0" w:noHBand="0" w:noVBand="1"/>
      </w:tblPr>
      <w:tblGrid>
        <w:gridCol w:w="1927"/>
        <w:gridCol w:w="1437"/>
        <w:gridCol w:w="1648"/>
        <w:gridCol w:w="1566"/>
        <w:gridCol w:w="1386"/>
      </w:tblGrid>
      <w:tr w:rsidR="00CD1131" w:rsidRPr="00043589" w14:paraId="7DB8CA73" w14:textId="616DB807" w:rsidTr="00644C60">
        <w:trPr>
          <w:jc w:val="center"/>
        </w:trPr>
        <w:tc>
          <w:tcPr>
            <w:tcW w:w="7964" w:type="dxa"/>
            <w:gridSpan w:val="5"/>
          </w:tcPr>
          <w:p w14:paraId="4939D157" w14:textId="52020239" w:rsidR="00CD1131" w:rsidRPr="00043589" w:rsidRDefault="00CD1131" w:rsidP="00644C60">
            <w:pPr>
              <w:spacing w:line="480" w:lineRule="auto"/>
              <w:jc w:val="center"/>
              <w:rPr>
                <w:color w:val="000000"/>
                <w:shd w:val="clear" w:color="auto" w:fill="FFFFFF"/>
              </w:rPr>
            </w:pPr>
            <w:r w:rsidRPr="00043589">
              <w:rPr>
                <w:color w:val="000000"/>
                <w:shd w:val="clear" w:color="auto" w:fill="FFFFFF"/>
              </w:rPr>
              <w:t>Table 2</w:t>
            </w:r>
          </w:p>
        </w:tc>
      </w:tr>
      <w:tr w:rsidR="00CD1131" w:rsidRPr="00043589" w14:paraId="3E053F56" w14:textId="666E0828" w:rsidTr="00CD1131">
        <w:trPr>
          <w:jc w:val="center"/>
        </w:trPr>
        <w:tc>
          <w:tcPr>
            <w:tcW w:w="1927" w:type="dxa"/>
          </w:tcPr>
          <w:p w14:paraId="353B87F4" w14:textId="77777777" w:rsidR="00CD1131" w:rsidRPr="00043589" w:rsidRDefault="00CD1131" w:rsidP="00644C60">
            <w:pPr>
              <w:spacing w:line="480" w:lineRule="auto"/>
              <w:rPr>
                <w:color w:val="000000"/>
                <w:shd w:val="clear" w:color="auto" w:fill="FFFFFF"/>
              </w:rPr>
            </w:pPr>
            <w:r w:rsidRPr="00043589">
              <w:rPr>
                <w:color w:val="000000"/>
                <w:shd w:val="clear" w:color="auto" w:fill="FFFFFF"/>
              </w:rPr>
              <w:t>Variables</w:t>
            </w:r>
          </w:p>
        </w:tc>
        <w:tc>
          <w:tcPr>
            <w:tcW w:w="1437" w:type="dxa"/>
          </w:tcPr>
          <w:p w14:paraId="47DB5DF4" w14:textId="3AA09ACE" w:rsidR="00CD1131" w:rsidRPr="00043589" w:rsidRDefault="00CD1131" w:rsidP="00644C60">
            <w:r w:rsidRPr="00043589">
              <w:t>Coefficient</w:t>
            </w:r>
          </w:p>
        </w:tc>
        <w:tc>
          <w:tcPr>
            <w:tcW w:w="1648" w:type="dxa"/>
          </w:tcPr>
          <w:p w14:paraId="45B029F7" w14:textId="14F507D0" w:rsidR="00CD1131" w:rsidRPr="00043589" w:rsidRDefault="00CD1131" w:rsidP="00644C60">
            <w:pPr>
              <w:spacing w:line="480" w:lineRule="auto"/>
              <w:rPr>
                <w:color w:val="000000"/>
                <w:shd w:val="clear" w:color="auto" w:fill="FFFFFF"/>
              </w:rPr>
            </w:pPr>
            <w:r w:rsidRPr="00043589">
              <w:rPr>
                <w:color w:val="000000"/>
                <w:shd w:val="clear" w:color="auto" w:fill="FFFFFF"/>
              </w:rPr>
              <w:t>Standard Error</w:t>
            </w:r>
          </w:p>
        </w:tc>
        <w:tc>
          <w:tcPr>
            <w:tcW w:w="1566" w:type="dxa"/>
          </w:tcPr>
          <w:p w14:paraId="1246B7C8" w14:textId="0A35FE29" w:rsidR="00CD1131" w:rsidRPr="00043589" w:rsidRDefault="00CD1131" w:rsidP="00644C60">
            <w:pPr>
              <w:spacing w:line="480" w:lineRule="auto"/>
              <w:rPr>
                <w:color w:val="000000"/>
                <w:shd w:val="clear" w:color="auto" w:fill="FFFFFF"/>
              </w:rPr>
            </w:pPr>
            <w:r w:rsidRPr="00043589">
              <w:rPr>
                <w:color w:val="000000"/>
                <w:shd w:val="clear" w:color="auto" w:fill="FFFFFF"/>
              </w:rPr>
              <w:t>Z-Value</w:t>
            </w:r>
          </w:p>
        </w:tc>
        <w:tc>
          <w:tcPr>
            <w:tcW w:w="1386" w:type="dxa"/>
          </w:tcPr>
          <w:p w14:paraId="263BC6D1" w14:textId="02EC0A39" w:rsidR="00CD1131" w:rsidRPr="00043589" w:rsidRDefault="00CD1131" w:rsidP="00644C60">
            <w:pPr>
              <w:spacing w:line="480" w:lineRule="auto"/>
              <w:rPr>
                <w:color w:val="000000"/>
                <w:shd w:val="clear" w:color="auto" w:fill="FFFFFF"/>
              </w:rPr>
            </w:pPr>
            <w:r w:rsidRPr="00043589">
              <w:rPr>
                <w:color w:val="000000"/>
                <w:shd w:val="clear" w:color="auto" w:fill="FFFFFF"/>
              </w:rPr>
              <w:t>P(&gt;|z|)</w:t>
            </w:r>
          </w:p>
        </w:tc>
      </w:tr>
      <w:tr w:rsidR="00CD1131" w:rsidRPr="00043589" w14:paraId="30DEEAC4" w14:textId="654D4D0F" w:rsidTr="00CD1131">
        <w:trPr>
          <w:jc w:val="center"/>
        </w:trPr>
        <w:tc>
          <w:tcPr>
            <w:tcW w:w="1927" w:type="dxa"/>
          </w:tcPr>
          <w:p w14:paraId="21F7EC75" w14:textId="77777777" w:rsidR="00CD1131" w:rsidRPr="00043589" w:rsidRDefault="00CD1131" w:rsidP="00644C60">
            <w:pPr>
              <w:spacing w:line="480" w:lineRule="auto"/>
              <w:rPr>
                <w:color w:val="000000"/>
                <w:shd w:val="clear" w:color="auto" w:fill="FFFFFF"/>
              </w:rPr>
            </w:pPr>
            <w:r w:rsidRPr="00043589">
              <w:rPr>
                <w:color w:val="000000"/>
                <w:shd w:val="clear" w:color="auto" w:fill="FFFFFF"/>
              </w:rPr>
              <w:t>Stems</w:t>
            </w:r>
          </w:p>
        </w:tc>
        <w:tc>
          <w:tcPr>
            <w:tcW w:w="1437" w:type="dxa"/>
          </w:tcPr>
          <w:p w14:paraId="3F370F5C" w14:textId="5CA05D70" w:rsidR="00CD1131" w:rsidRPr="00043589" w:rsidRDefault="00CD1131" w:rsidP="00644C60">
            <w:pPr>
              <w:spacing w:line="480" w:lineRule="auto"/>
              <w:rPr>
                <w:color w:val="000000"/>
                <w:shd w:val="clear" w:color="auto" w:fill="FFFFFF"/>
              </w:rPr>
            </w:pPr>
            <w:r w:rsidRPr="00043589">
              <w:rPr>
                <w:color w:val="000000"/>
                <w:shd w:val="clear" w:color="auto" w:fill="FFFFFF"/>
              </w:rPr>
              <w:t>0.028413</w:t>
            </w:r>
          </w:p>
        </w:tc>
        <w:tc>
          <w:tcPr>
            <w:tcW w:w="1648" w:type="dxa"/>
          </w:tcPr>
          <w:p w14:paraId="3E550182" w14:textId="4377BA21" w:rsidR="00CD1131" w:rsidRPr="00043589" w:rsidRDefault="00CD1131" w:rsidP="00644C60">
            <w:pPr>
              <w:spacing w:line="480" w:lineRule="auto"/>
              <w:rPr>
                <w:color w:val="000000"/>
                <w:shd w:val="clear" w:color="auto" w:fill="FFFFFF"/>
              </w:rPr>
            </w:pPr>
            <w:r w:rsidRPr="00043589">
              <w:rPr>
                <w:color w:val="000000"/>
                <w:shd w:val="clear" w:color="auto" w:fill="FFFFFF"/>
              </w:rPr>
              <w:t>0.003312</w:t>
            </w:r>
          </w:p>
        </w:tc>
        <w:tc>
          <w:tcPr>
            <w:tcW w:w="1566" w:type="dxa"/>
          </w:tcPr>
          <w:p w14:paraId="5E279DD5" w14:textId="33063460" w:rsidR="00CD1131" w:rsidRPr="00043589" w:rsidRDefault="00CD1131" w:rsidP="00644C60">
            <w:pPr>
              <w:spacing w:line="480" w:lineRule="auto"/>
              <w:rPr>
                <w:color w:val="000000"/>
                <w:shd w:val="clear" w:color="auto" w:fill="FFFFFF"/>
              </w:rPr>
            </w:pPr>
            <w:r w:rsidRPr="00043589">
              <w:rPr>
                <w:color w:val="000000"/>
                <w:shd w:val="clear" w:color="auto" w:fill="FFFFFF"/>
              </w:rPr>
              <w:t>8.580</w:t>
            </w:r>
          </w:p>
        </w:tc>
        <w:tc>
          <w:tcPr>
            <w:tcW w:w="1386" w:type="dxa"/>
          </w:tcPr>
          <w:p w14:paraId="619226E4" w14:textId="4C3FAFC3" w:rsidR="00CD1131" w:rsidRPr="00043589" w:rsidRDefault="00CD1131" w:rsidP="00644C60">
            <w:pPr>
              <w:spacing w:line="480" w:lineRule="auto"/>
              <w:rPr>
                <w:color w:val="000000"/>
                <w:shd w:val="clear" w:color="auto" w:fill="FFFFFF"/>
              </w:rPr>
            </w:pPr>
            <w:r w:rsidRPr="00043589">
              <w:rPr>
                <w:color w:val="000000"/>
                <w:shd w:val="clear" w:color="auto" w:fill="FFFFFF"/>
              </w:rPr>
              <w:t>0.000</w:t>
            </w:r>
          </w:p>
        </w:tc>
      </w:tr>
      <w:tr w:rsidR="00CD1131" w:rsidRPr="00043589" w14:paraId="39E065FC" w14:textId="55DF4AE8" w:rsidTr="00CD1131">
        <w:trPr>
          <w:jc w:val="center"/>
        </w:trPr>
        <w:tc>
          <w:tcPr>
            <w:tcW w:w="1927" w:type="dxa"/>
          </w:tcPr>
          <w:p w14:paraId="72E13ABD" w14:textId="77777777" w:rsidR="00CD1131" w:rsidRPr="00043589" w:rsidRDefault="00CD1131" w:rsidP="00644C60">
            <w:pPr>
              <w:spacing w:line="480" w:lineRule="auto"/>
              <w:rPr>
                <w:color w:val="000000"/>
                <w:shd w:val="clear" w:color="auto" w:fill="FFFFFF"/>
              </w:rPr>
            </w:pPr>
            <w:r w:rsidRPr="00043589">
              <w:rPr>
                <w:color w:val="000000"/>
                <w:shd w:val="clear" w:color="auto" w:fill="FFFFFF"/>
              </w:rPr>
              <w:t>Stem Diameter</w:t>
            </w:r>
          </w:p>
        </w:tc>
        <w:tc>
          <w:tcPr>
            <w:tcW w:w="1437" w:type="dxa"/>
          </w:tcPr>
          <w:p w14:paraId="4597672F" w14:textId="143774F7" w:rsidR="00CD1131" w:rsidRPr="00043589" w:rsidRDefault="00CD1131" w:rsidP="00644C60">
            <w:pPr>
              <w:spacing w:line="480" w:lineRule="auto"/>
              <w:rPr>
                <w:color w:val="000000"/>
                <w:shd w:val="clear" w:color="auto" w:fill="FFFFFF"/>
              </w:rPr>
            </w:pPr>
            <w:r w:rsidRPr="00043589">
              <w:rPr>
                <w:color w:val="000000"/>
                <w:shd w:val="clear" w:color="auto" w:fill="FFFFFF"/>
              </w:rPr>
              <w:t>0.095901</w:t>
            </w:r>
          </w:p>
        </w:tc>
        <w:tc>
          <w:tcPr>
            <w:tcW w:w="1648" w:type="dxa"/>
          </w:tcPr>
          <w:p w14:paraId="5C5E6019" w14:textId="2ABAC0E4" w:rsidR="00CD1131" w:rsidRPr="00043589" w:rsidRDefault="00CD1131" w:rsidP="00644C60">
            <w:pPr>
              <w:spacing w:line="480" w:lineRule="auto"/>
              <w:rPr>
                <w:color w:val="000000"/>
                <w:shd w:val="clear" w:color="auto" w:fill="FFFFFF"/>
              </w:rPr>
            </w:pPr>
            <w:r w:rsidRPr="00043589">
              <w:rPr>
                <w:color w:val="000000"/>
                <w:shd w:val="clear" w:color="auto" w:fill="FFFFFF"/>
              </w:rPr>
              <w:t>0.010734</w:t>
            </w:r>
          </w:p>
        </w:tc>
        <w:tc>
          <w:tcPr>
            <w:tcW w:w="1566" w:type="dxa"/>
          </w:tcPr>
          <w:p w14:paraId="2B9979BF" w14:textId="0FDD8164" w:rsidR="00CD1131" w:rsidRPr="00043589" w:rsidRDefault="00CD1131" w:rsidP="00644C60">
            <w:pPr>
              <w:spacing w:line="480" w:lineRule="auto"/>
              <w:rPr>
                <w:color w:val="000000"/>
                <w:shd w:val="clear" w:color="auto" w:fill="FFFFFF"/>
              </w:rPr>
            </w:pPr>
            <w:r w:rsidRPr="00043589">
              <w:rPr>
                <w:color w:val="000000"/>
                <w:shd w:val="clear" w:color="auto" w:fill="FFFFFF"/>
              </w:rPr>
              <w:t>8.935</w:t>
            </w:r>
          </w:p>
        </w:tc>
        <w:tc>
          <w:tcPr>
            <w:tcW w:w="1386" w:type="dxa"/>
          </w:tcPr>
          <w:p w14:paraId="72498ECE" w14:textId="67A8C51A" w:rsidR="00CD1131" w:rsidRPr="00043589" w:rsidRDefault="00CD1131" w:rsidP="00644C60">
            <w:pPr>
              <w:spacing w:line="480" w:lineRule="auto"/>
              <w:rPr>
                <w:color w:val="000000"/>
                <w:shd w:val="clear" w:color="auto" w:fill="FFFFFF"/>
              </w:rPr>
            </w:pPr>
            <w:r w:rsidRPr="00043589">
              <w:rPr>
                <w:color w:val="000000"/>
                <w:shd w:val="clear" w:color="auto" w:fill="FFFFFF"/>
              </w:rPr>
              <w:t>0.000</w:t>
            </w:r>
          </w:p>
        </w:tc>
      </w:tr>
      <w:tr w:rsidR="00CD1131" w:rsidRPr="00043589" w14:paraId="3AD922D4" w14:textId="752B1AEE" w:rsidTr="00CD1131">
        <w:trPr>
          <w:jc w:val="center"/>
        </w:trPr>
        <w:tc>
          <w:tcPr>
            <w:tcW w:w="1927" w:type="dxa"/>
          </w:tcPr>
          <w:p w14:paraId="70B546F7" w14:textId="7179C2E9" w:rsidR="00CD1131" w:rsidRPr="00043589" w:rsidRDefault="00CD1131" w:rsidP="00644C60">
            <w:pPr>
              <w:spacing w:line="480" w:lineRule="auto"/>
              <w:rPr>
                <w:color w:val="000000"/>
                <w:shd w:val="clear" w:color="auto" w:fill="FFFFFF"/>
              </w:rPr>
            </w:pPr>
            <w:r w:rsidRPr="00043589">
              <w:rPr>
                <w:color w:val="000000"/>
                <w:shd w:val="clear" w:color="auto" w:fill="FFFFFF"/>
              </w:rPr>
              <w:t>Solar Access (%)</w:t>
            </w:r>
          </w:p>
        </w:tc>
        <w:tc>
          <w:tcPr>
            <w:tcW w:w="1437" w:type="dxa"/>
          </w:tcPr>
          <w:p w14:paraId="75706A70" w14:textId="01C552E3" w:rsidR="00CD1131" w:rsidRPr="00043589" w:rsidRDefault="00CD1131" w:rsidP="00644C60">
            <w:pPr>
              <w:spacing w:line="480" w:lineRule="auto"/>
              <w:rPr>
                <w:color w:val="000000"/>
                <w:shd w:val="clear" w:color="auto" w:fill="FFFFFF"/>
              </w:rPr>
            </w:pPr>
            <w:r w:rsidRPr="00043589">
              <w:rPr>
                <w:color w:val="000000"/>
                <w:shd w:val="clear" w:color="auto" w:fill="FFFFFF"/>
              </w:rPr>
              <w:t>6.4538</w:t>
            </w:r>
          </w:p>
        </w:tc>
        <w:tc>
          <w:tcPr>
            <w:tcW w:w="1648" w:type="dxa"/>
          </w:tcPr>
          <w:p w14:paraId="74B03C80" w14:textId="3453ED73" w:rsidR="00CD1131" w:rsidRPr="00043589" w:rsidRDefault="00CD1131" w:rsidP="00644C60">
            <w:pPr>
              <w:spacing w:line="480" w:lineRule="auto"/>
              <w:rPr>
                <w:color w:val="000000"/>
                <w:shd w:val="clear" w:color="auto" w:fill="FFFFFF"/>
              </w:rPr>
            </w:pPr>
            <w:r w:rsidRPr="00043589">
              <w:rPr>
                <w:color w:val="000000"/>
                <w:shd w:val="clear" w:color="auto" w:fill="FFFFFF"/>
              </w:rPr>
              <w:t>0.9720</w:t>
            </w:r>
          </w:p>
        </w:tc>
        <w:tc>
          <w:tcPr>
            <w:tcW w:w="1566" w:type="dxa"/>
          </w:tcPr>
          <w:p w14:paraId="280DF768" w14:textId="3BDFF2F1" w:rsidR="00CD1131" w:rsidRPr="00043589" w:rsidRDefault="00CD1131" w:rsidP="00644C60">
            <w:pPr>
              <w:spacing w:line="480" w:lineRule="auto"/>
              <w:rPr>
                <w:color w:val="000000"/>
                <w:shd w:val="clear" w:color="auto" w:fill="FFFFFF"/>
              </w:rPr>
            </w:pPr>
            <w:r w:rsidRPr="00043589">
              <w:rPr>
                <w:color w:val="000000"/>
                <w:shd w:val="clear" w:color="auto" w:fill="FFFFFF"/>
              </w:rPr>
              <w:t>6.640</w:t>
            </w:r>
          </w:p>
        </w:tc>
        <w:tc>
          <w:tcPr>
            <w:tcW w:w="1386" w:type="dxa"/>
          </w:tcPr>
          <w:p w14:paraId="11B51BB1" w14:textId="25613152" w:rsidR="00CD1131" w:rsidRPr="00043589" w:rsidRDefault="00CD1131" w:rsidP="00644C60">
            <w:pPr>
              <w:spacing w:line="480" w:lineRule="auto"/>
              <w:rPr>
                <w:color w:val="000000"/>
                <w:shd w:val="clear" w:color="auto" w:fill="FFFFFF"/>
              </w:rPr>
            </w:pPr>
            <w:r w:rsidRPr="00043589">
              <w:rPr>
                <w:color w:val="000000"/>
                <w:shd w:val="clear" w:color="auto" w:fill="FFFFFF"/>
              </w:rPr>
              <w:t>0.000</w:t>
            </w:r>
          </w:p>
        </w:tc>
      </w:tr>
      <w:tr w:rsidR="00CD1131" w:rsidRPr="00043589" w14:paraId="413BFFEF" w14:textId="0E79EF84" w:rsidTr="00CD1131">
        <w:trPr>
          <w:jc w:val="center"/>
        </w:trPr>
        <w:tc>
          <w:tcPr>
            <w:tcW w:w="1927" w:type="dxa"/>
          </w:tcPr>
          <w:p w14:paraId="1FAE0164" w14:textId="77777777" w:rsidR="00CD1131" w:rsidRPr="00043589" w:rsidRDefault="00CD1131" w:rsidP="0092792F">
            <w:pPr>
              <w:rPr>
                <w:color w:val="000000"/>
                <w:shd w:val="clear" w:color="auto" w:fill="FFFFFF"/>
              </w:rPr>
            </w:pPr>
            <w:r w:rsidRPr="00043589">
              <w:rPr>
                <w:color w:val="000000"/>
                <w:shd w:val="clear" w:color="auto" w:fill="FFFFFF"/>
              </w:rPr>
              <w:t xml:space="preserve">TSLF Category: </w:t>
            </w:r>
          </w:p>
          <w:p w14:paraId="3719F4E2" w14:textId="0A8EB477" w:rsidR="00CD1131" w:rsidRPr="00043589" w:rsidRDefault="00CD1131" w:rsidP="0092792F">
            <w:pPr>
              <w:rPr>
                <w:color w:val="000000"/>
                <w:shd w:val="clear" w:color="auto" w:fill="FFFFFF"/>
              </w:rPr>
            </w:pPr>
            <w:r w:rsidRPr="00043589">
              <w:rPr>
                <w:color w:val="000000"/>
                <w:shd w:val="clear" w:color="auto" w:fill="FFFFFF"/>
              </w:rPr>
              <w:t>3-7 Years</w:t>
            </w:r>
          </w:p>
        </w:tc>
        <w:tc>
          <w:tcPr>
            <w:tcW w:w="1437" w:type="dxa"/>
          </w:tcPr>
          <w:p w14:paraId="79D46215" w14:textId="386F5CFC" w:rsidR="00CD1131" w:rsidRPr="00043589" w:rsidRDefault="00CD1131" w:rsidP="00644C60">
            <w:pPr>
              <w:spacing w:line="480" w:lineRule="auto"/>
              <w:rPr>
                <w:color w:val="000000"/>
                <w:shd w:val="clear" w:color="auto" w:fill="FFFFFF"/>
              </w:rPr>
            </w:pPr>
            <w:r w:rsidRPr="00043589">
              <w:rPr>
                <w:color w:val="000000"/>
                <w:shd w:val="clear" w:color="auto" w:fill="FFFFFF"/>
              </w:rPr>
              <w:t>2.688393</w:t>
            </w:r>
          </w:p>
        </w:tc>
        <w:tc>
          <w:tcPr>
            <w:tcW w:w="1648" w:type="dxa"/>
          </w:tcPr>
          <w:p w14:paraId="63C3B39E" w14:textId="75A1A196" w:rsidR="00CD1131" w:rsidRPr="00043589" w:rsidRDefault="00CD1131" w:rsidP="00644C60">
            <w:pPr>
              <w:spacing w:line="480" w:lineRule="auto"/>
              <w:rPr>
                <w:color w:val="000000"/>
                <w:shd w:val="clear" w:color="auto" w:fill="FFFFFF"/>
              </w:rPr>
            </w:pPr>
            <w:r w:rsidRPr="00043589">
              <w:rPr>
                <w:color w:val="000000"/>
                <w:shd w:val="clear" w:color="auto" w:fill="FFFFFF"/>
              </w:rPr>
              <w:t>0.704722</w:t>
            </w:r>
          </w:p>
        </w:tc>
        <w:tc>
          <w:tcPr>
            <w:tcW w:w="1566" w:type="dxa"/>
          </w:tcPr>
          <w:p w14:paraId="65CE9521" w14:textId="76F34AA9" w:rsidR="00CD1131" w:rsidRPr="00043589" w:rsidRDefault="00CD1131" w:rsidP="00644C60">
            <w:pPr>
              <w:spacing w:line="480" w:lineRule="auto"/>
              <w:rPr>
                <w:color w:val="000000"/>
                <w:shd w:val="clear" w:color="auto" w:fill="FFFFFF"/>
              </w:rPr>
            </w:pPr>
            <w:r w:rsidRPr="00043589">
              <w:rPr>
                <w:color w:val="000000"/>
                <w:shd w:val="clear" w:color="auto" w:fill="FFFFFF"/>
              </w:rPr>
              <w:t>3.815</w:t>
            </w:r>
          </w:p>
        </w:tc>
        <w:tc>
          <w:tcPr>
            <w:tcW w:w="1386" w:type="dxa"/>
          </w:tcPr>
          <w:p w14:paraId="76E65C36" w14:textId="489A3A63" w:rsidR="00CD1131" w:rsidRPr="00043589" w:rsidRDefault="00CD1131" w:rsidP="00644C60">
            <w:pPr>
              <w:spacing w:line="480" w:lineRule="auto"/>
              <w:rPr>
                <w:color w:val="000000"/>
                <w:shd w:val="clear" w:color="auto" w:fill="FFFFFF"/>
              </w:rPr>
            </w:pPr>
            <w:r w:rsidRPr="00043589">
              <w:rPr>
                <w:color w:val="000000"/>
                <w:shd w:val="clear" w:color="auto" w:fill="FFFFFF"/>
              </w:rPr>
              <w:t>0.000</w:t>
            </w:r>
          </w:p>
        </w:tc>
      </w:tr>
      <w:tr w:rsidR="00CD1131" w:rsidRPr="00043589" w14:paraId="7BA19988" w14:textId="253D7346" w:rsidTr="00CD1131">
        <w:trPr>
          <w:jc w:val="center"/>
        </w:trPr>
        <w:tc>
          <w:tcPr>
            <w:tcW w:w="1927" w:type="dxa"/>
          </w:tcPr>
          <w:p w14:paraId="3C9A5A01" w14:textId="77777777" w:rsidR="00CD1131" w:rsidRPr="00043589" w:rsidRDefault="00CD1131" w:rsidP="0092792F">
            <w:pPr>
              <w:rPr>
                <w:color w:val="000000"/>
                <w:shd w:val="clear" w:color="auto" w:fill="FFFFFF"/>
              </w:rPr>
            </w:pPr>
            <w:r w:rsidRPr="00043589">
              <w:rPr>
                <w:color w:val="000000"/>
                <w:shd w:val="clear" w:color="auto" w:fill="FFFFFF"/>
              </w:rPr>
              <w:t xml:space="preserve">TSLF Category: </w:t>
            </w:r>
          </w:p>
          <w:p w14:paraId="11147F83" w14:textId="7DC1FC66" w:rsidR="00CD1131" w:rsidRPr="00043589" w:rsidRDefault="00CD1131" w:rsidP="0092792F">
            <w:pPr>
              <w:rPr>
                <w:color w:val="000000"/>
                <w:shd w:val="clear" w:color="auto" w:fill="FFFFFF"/>
              </w:rPr>
            </w:pPr>
            <w:r w:rsidRPr="00043589">
              <w:rPr>
                <w:color w:val="000000"/>
                <w:shd w:val="clear" w:color="auto" w:fill="FFFFFF"/>
              </w:rPr>
              <w:t>8-12 Years</w:t>
            </w:r>
          </w:p>
        </w:tc>
        <w:tc>
          <w:tcPr>
            <w:tcW w:w="1437" w:type="dxa"/>
          </w:tcPr>
          <w:p w14:paraId="5A6C8301" w14:textId="58A1CACF" w:rsidR="00CD1131" w:rsidRPr="00043589" w:rsidRDefault="00CD1131" w:rsidP="00644C60">
            <w:pPr>
              <w:spacing w:line="480" w:lineRule="auto"/>
              <w:rPr>
                <w:color w:val="000000"/>
                <w:shd w:val="clear" w:color="auto" w:fill="FFFFFF"/>
              </w:rPr>
            </w:pPr>
            <w:r w:rsidRPr="00043589">
              <w:rPr>
                <w:color w:val="000000"/>
                <w:shd w:val="clear" w:color="auto" w:fill="FFFFFF"/>
              </w:rPr>
              <w:t>2.069929</w:t>
            </w:r>
          </w:p>
        </w:tc>
        <w:tc>
          <w:tcPr>
            <w:tcW w:w="1648" w:type="dxa"/>
          </w:tcPr>
          <w:p w14:paraId="0FEAA2F8" w14:textId="6F04AE9F" w:rsidR="00CD1131" w:rsidRPr="00043589" w:rsidRDefault="00CD1131" w:rsidP="00644C60">
            <w:pPr>
              <w:spacing w:line="480" w:lineRule="auto"/>
              <w:rPr>
                <w:color w:val="000000"/>
                <w:shd w:val="clear" w:color="auto" w:fill="FFFFFF"/>
              </w:rPr>
            </w:pPr>
            <w:r w:rsidRPr="00043589">
              <w:rPr>
                <w:color w:val="000000"/>
                <w:shd w:val="clear" w:color="auto" w:fill="FFFFFF"/>
              </w:rPr>
              <w:t>0.793454</w:t>
            </w:r>
          </w:p>
        </w:tc>
        <w:tc>
          <w:tcPr>
            <w:tcW w:w="1566" w:type="dxa"/>
          </w:tcPr>
          <w:p w14:paraId="377AC342" w14:textId="13DE3123" w:rsidR="00CD1131" w:rsidRPr="00043589" w:rsidRDefault="00CD1131" w:rsidP="00644C60">
            <w:pPr>
              <w:spacing w:line="480" w:lineRule="auto"/>
              <w:rPr>
                <w:color w:val="000000"/>
                <w:shd w:val="clear" w:color="auto" w:fill="FFFFFF"/>
              </w:rPr>
            </w:pPr>
            <w:r w:rsidRPr="00043589">
              <w:rPr>
                <w:color w:val="000000"/>
                <w:shd w:val="clear" w:color="auto" w:fill="FFFFFF"/>
              </w:rPr>
              <w:t>2.609</w:t>
            </w:r>
          </w:p>
        </w:tc>
        <w:tc>
          <w:tcPr>
            <w:tcW w:w="1386" w:type="dxa"/>
          </w:tcPr>
          <w:p w14:paraId="417C18E0" w14:textId="4A72EB80" w:rsidR="00CD1131" w:rsidRPr="00043589" w:rsidRDefault="00CD1131" w:rsidP="00644C60">
            <w:pPr>
              <w:spacing w:line="480" w:lineRule="auto"/>
              <w:rPr>
                <w:color w:val="000000"/>
                <w:shd w:val="clear" w:color="auto" w:fill="FFFFFF"/>
              </w:rPr>
            </w:pPr>
            <w:r w:rsidRPr="00043589">
              <w:rPr>
                <w:color w:val="000000"/>
                <w:shd w:val="clear" w:color="auto" w:fill="FFFFFF"/>
              </w:rPr>
              <w:t>0.009</w:t>
            </w:r>
          </w:p>
        </w:tc>
      </w:tr>
      <w:tr w:rsidR="00CD1131" w:rsidRPr="00043589" w14:paraId="2DB96A49" w14:textId="4D4E79EC" w:rsidTr="00CD1131">
        <w:trPr>
          <w:jc w:val="center"/>
        </w:trPr>
        <w:tc>
          <w:tcPr>
            <w:tcW w:w="1927" w:type="dxa"/>
          </w:tcPr>
          <w:p w14:paraId="07B5BE04" w14:textId="77777777" w:rsidR="00CD1131" w:rsidRPr="00043589" w:rsidRDefault="00CD1131" w:rsidP="0092792F">
            <w:pPr>
              <w:rPr>
                <w:color w:val="000000"/>
                <w:shd w:val="clear" w:color="auto" w:fill="FFFFFF"/>
              </w:rPr>
            </w:pPr>
            <w:r w:rsidRPr="00043589">
              <w:rPr>
                <w:color w:val="000000"/>
                <w:shd w:val="clear" w:color="auto" w:fill="FFFFFF"/>
              </w:rPr>
              <w:t>TSLF Category:</w:t>
            </w:r>
          </w:p>
          <w:p w14:paraId="103F370A" w14:textId="77777777" w:rsidR="00CD1131" w:rsidRPr="00043589" w:rsidRDefault="00CD1131" w:rsidP="0092792F">
            <w:pPr>
              <w:rPr>
                <w:color w:val="000000"/>
                <w:shd w:val="clear" w:color="auto" w:fill="FFFFFF"/>
              </w:rPr>
            </w:pPr>
            <w:r w:rsidRPr="00043589">
              <w:rPr>
                <w:color w:val="000000"/>
                <w:shd w:val="clear" w:color="auto" w:fill="FFFFFF"/>
              </w:rPr>
              <w:t>3-7 Years</w:t>
            </w:r>
          </w:p>
          <w:p w14:paraId="3B8436D7" w14:textId="6450F120" w:rsidR="00CD1131" w:rsidRPr="00043589" w:rsidRDefault="00CD1131" w:rsidP="0092792F">
            <w:pPr>
              <w:rPr>
                <w:color w:val="000000"/>
                <w:shd w:val="clear" w:color="auto" w:fill="FFFFFF"/>
              </w:rPr>
            </w:pPr>
            <w:r w:rsidRPr="00043589">
              <w:rPr>
                <w:color w:val="000000"/>
                <w:shd w:val="clear" w:color="auto" w:fill="FFFFFF"/>
              </w:rPr>
              <w:t>*</w:t>
            </w:r>
          </w:p>
          <w:p w14:paraId="35D651B6" w14:textId="51EE3C18" w:rsidR="00CD1131" w:rsidRPr="00043589" w:rsidRDefault="00CD1131" w:rsidP="0092792F">
            <w:pPr>
              <w:rPr>
                <w:color w:val="000000"/>
                <w:shd w:val="clear" w:color="auto" w:fill="FFFFFF"/>
              </w:rPr>
            </w:pPr>
            <w:r w:rsidRPr="00043589">
              <w:rPr>
                <w:color w:val="000000"/>
                <w:shd w:val="clear" w:color="auto" w:fill="FFFFFF"/>
              </w:rPr>
              <w:t>Solar Access</w:t>
            </w:r>
          </w:p>
        </w:tc>
        <w:tc>
          <w:tcPr>
            <w:tcW w:w="1437" w:type="dxa"/>
          </w:tcPr>
          <w:p w14:paraId="7A097D71" w14:textId="2E8CF4CE" w:rsidR="00CD1131" w:rsidRPr="00043589" w:rsidRDefault="00CD1131" w:rsidP="00644C60">
            <w:pPr>
              <w:spacing w:line="480" w:lineRule="auto"/>
              <w:rPr>
                <w:color w:val="000000"/>
                <w:shd w:val="clear" w:color="auto" w:fill="FFFFFF"/>
              </w:rPr>
            </w:pPr>
            <w:r w:rsidRPr="00043589">
              <w:rPr>
                <w:color w:val="000000"/>
                <w:shd w:val="clear" w:color="auto" w:fill="FFFFFF"/>
              </w:rPr>
              <w:t>-0.035624</w:t>
            </w:r>
          </w:p>
        </w:tc>
        <w:tc>
          <w:tcPr>
            <w:tcW w:w="1648" w:type="dxa"/>
          </w:tcPr>
          <w:p w14:paraId="591E5F72" w14:textId="485872E4" w:rsidR="00CD1131" w:rsidRPr="00043589" w:rsidRDefault="00CD1131" w:rsidP="00644C60">
            <w:pPr>
              <w:spacing w:line="480" w:lineRule="auto"/>
              <w:rPr>
                <w:color w:val="000000"/>
                <w:shd w:val="clear" w:color="auto" w:fill="FFFFFF"/>
              </w:rPr>
            </w:pPr>
            <w:r w:rsidRPr="00043589">
              <w:rPr>
                <w:color w:val="000000"/>
                <w:shd w:val="clear" w:color="auto" w:fill="FFFFFF"/>
              </w:rPr>
              <w:t>0.011628</w:t>
            </w:r>
          </w:p>
        </w:tc>
        <w:tc>
          <w:tcPr>
            <w:tcW w:w="1566" w:type="dxa"/>
          </w:tcPr>
          <w:p w14:paraId="7D407AF1" w14:textId="582DAB5F" w:rsidR="00CD1131" w:rsidRPr="00043589" w:rsidRDefault="00CD1131" w:rsidP="00644C60">
            <w:pPr>
              <w:spacing w:line="480" w:lineRule="auto"/>
              <w:rPr>
                <w:color w:val="000000"/>
                <w:shd w:val="clear" w:color="auto" w:fill="FFFFFF"/>
              </w:rPr>
            </w:pPr>
            <w:r w:rsidRPr="00043589">
              <w:rPr>
                <w:color w:val="000000"/>
                <w:shd w:val="clear" w:color="auto" w:fill="FFFFFF"/>
              </w:rPr>
              <w:t>-3.064</w:t>
            </w:r>
          </w:p>
        </w:tc>
        <w:tc>
          <w:tcPr>
            <w:tcW w:w="1386" w:type="dxa"/>
          </w:tcPr>
          <w:p w14:paraId="56A82C59" w14:textId="032166CA" w:rsidR="00CD1131" w:rsidRPr="00043589" w:rsidRDefault="00070451" w:rsidP="00644C60">
            <w:pPr>
              <w:spacing w:line="480" w:lineRule="auto"/>
              <w:rPr>
                <w:color w:val="000000"/>
                <w:shd w:val="clear" w:color="auto" w:fill="FFFFFF"/>
              </w:rPr>
            </w:pPr>
            <w:r w:rsidRPr="00043589">
              <w:rPr>
                <w:color w:val="000000"/>
                <w:shd w:val="clear" w:color="auto" w:fill="FFFFFF"/>
              </w:rPr>
              <w:t>0.002</w:t>
            </w:r>
          </w:p>
        </w:tc>
      </w:tr>
      <w:tr w:rsidR="00CD1131" w:rsidRPr="00043589" w14:paraId="23289022" w14:textId="5EA1D59E" w:rsidTr="00CD1131">
        <w:trPr>
          <w:jc w:val="center"/>
        </w:trPr>
        <w:tc>
          <w:tcPr>
            <w:tcW w:w="1927" w:type="dxa"/>
          </w:tcPr>
          <w:p w14:paraId="7789D9D1" w14:textId="77777777" w:rsidR="00CD1131" w:rsidRPr="00043589" w:rsidRDefault="00CD1131" w:rsidP="00CD1131">
            <w:pPr>
              <w:rPr>
                <w:color w:val="000000"/>
                <w:shd w:val="clear" w:color="auto" w:fill="FFFFFF"/>
              </w:rPr>
            </w:pPr>
            <w:r w:rsidRPr="00043589">
              <w:rPr>
                <w:color w:val="000000"/>
                <w:shd w:val="clear" w:color="auto" w:fill="FFFFFF"/>
              </w:rPr>
              <w:t>TSLF Category:</w:t>
            </w:r>
          </w:p>
          <w:p w14:paraId="7E760FF9" w14:textId="2DD89C17" w:rsidR="00CD1131" w:rsidRPr="00043589" w:rsidRDefault="00CD1131" w:rsidP="00CD1131">
            <w:pPr>
              <w:rPr>
                <w:color w:val="000000"/>
                <w:shd w:val="clear" w:color="auto" w:fill="FFFFFF"/>
              </w:rPr>
            </w:pPr>
            <w:r w:rsidRPr="00043589">
              <w:rPr>
                <w:color w:val="000000"/>
                <w:shd w:val="clear" w:color="auto" w:fill="FFFFFF"/>
              </w:rPr>
              <w:t>8-12 Years</w:t>
            </w:r>
          </w:p>
          <w:p w14:paraId="124FB6C6" w14:textId="77777777" w:rsidR="00CD1131" w:rsidRPr="00043589" w:rsidRDefault="00CD1131" w:rsidP="00CD1131">
            <w:pPr>
              <w:rPr>
                <w:color w:val="000000"/>
                <w:shd w:val="clear" w:color="auto" w:fill="FFFFFF"/>
              </w:rPr>
            </w:pPr>
            <w:r w:rsidRPr="00043589">
              <w:rPr>
                <w:color w:val="000000"/>
                <w:shd w:val="clear" w:color="auto" w:fill="FFFFFF"/>
              </w:rPr>
              <w:t>*</w:t>
            </w:r>
          </w:p>
          <w:p w14:paraId="41408A6B" w14:textId="17239263" w:rsidR="00CD1131" w:rsidRPr="00043589" w:rsidRDefault="00CD1131" w:rsidP="00CD1131">
            <w:pPr>
              <w:rPr>
                <w:color w:val="000000"/>
                <w:shd w:val="clear" w:color="auto" w:fill="FFFFFF"/>
              </w:rPr>
            </w:pPr>
            <w:r w:rsidRPr="00043589">
              <w:rPr>
                <w:color w:val="000000"/>
                <w:shd w:val="clear" w:color="auto" w:fill="FFFFFF"/>
              </w:rPr>
              <w:t>Solar Access</w:t>
            </w:r>
          </w:p>
        </w:tc>
        <w:tc>
          <w:tcPr>
            <w:tcW w:w="1437" w:type="dxa"/>
          </w:tcPr>
          <w:p w14:paraId="640B0981" w14:textId="43EFBA39" w:rsidR="00CD1131" w:rsidRPr="00043589" w:rsidRDefault="00CD1131" w:rsidP="00644C60">
            <w:pPr>
              <w:spacing w:line="480" w:lineRule="auto"/>
              <w:rPr>
                <w:color w:val="000000"/>
                <w:shd w:val="clear" w:color="auto" w:fill="FFFFFF"/>
              </w:rPr>
            </w:pPr>
            <w:r w:rsidRPr="00043589">
              <w:rPr>
                <w:color w:val="000000"/>
                <w:shd w:val="clear" w:color="auto" w:fill="FFFFFF"/>
              </w:rPr>
              <w:t>-0.024878</w:t>
            </w:r>
          </w:p>
        </w:tc>
        <w:tc>
          <w:tcPr>
            <w:tcW w:w="1648" w:type="dxa"/>
          </w:tcPr>
          <w:p w14:paraId="16788384" w14:textId="414A463F" w:rsidR="00CD1131" w:rsidRPr="00043589" w:rsidRDefault="00CD1131" w:rsidP="00644C60">
            <w:pPr>
              <w:spacing w:line="480" w:lineRule="auto"/>
              <w:rPr>
                <w:color w:val="000000"/>
                <w:shd w:val="clear" w:color="auto" w:fill="FFFFFF"/>
              </w:rPr>
            </w:pPr>
            <w:r w:rsidRPr="00043589">
              <w:rPr>
                <w:color w:val="000000"/>
                <w:shd w:val="clear" w:color="auto" w:fill="FFFFFF"/>
              </w:rPr>
              <w:t>0.013038</w:t>
            </w:r>
          </w:p>
        </w:tc>
        <w:tc>
          <w:tcPr>
            <w:tcW w:w="1566" w:type="dxa"/>
          </w:tcPr>
          <w:p w14:paraId="285A16C7" w14:textId="3A595BA3" w:rsidR="00CD1131" w:rsidRPr="00043589" w:rsidRDefault="00CD1131" w:rsidP="00644C60">
            <w:pPr>
              <w:spacing w:line="480" w:lineRule="auto"/>
              <w:rPr>
                <w:color w:val="000000"/>
                <w:shd w:val="clear" w:color="auto" w:fill="FFFFFF"/>
              </w:rPr>
            </w:pPr>
            <w:r w:rsidRPr="00043589">
              <w:rPr>
                <w:color w:val="000000"/>
                <w:shd w:val="clear" w:color="auto" w:fill="FFFFFF"/>
              </w:rPr>
              <w:t>-1.908</w:t>
            </w:r>
          </w:p>
        </w:tc>
        <w:tc>
          <w:tcPr>
            <w:tcW w:w="1386" w:type="dxa"/>
          </w:tcPr>
          <w:p w14:paraId="018D01DE" w14:textId="67504758" w:rsidR="00CD1131" w:rsidRPr="00043589" w:rsidRDefault="00070451" w:rsidP="00644C60">
            <w:pPr>
              <w:spacing w:line="480" w:lineRule="auto"/>
              <w:rPr>
                <w:color w:val="000000"/>
                <w:shd w:val="clear" w:color="auto" w:fill="FFFFFF"/>
              </w:rPr>
            </w:pPr>
            <w:r w:rsidRPr="00043589">
              <w:rPr>
                <w:color w:val="000000"/>
                <w:shd w:val="clear" w:color="auto" w:fill="FFFFFF"/>
              </w:rPr>
              <w:t>0.056</w:t>
            </w:r>
          </w:p>
        </w:tc>
      </w:tr>
      <w:tr w:rsidR="00CD1131" w:rsidRPr="00043589" w14:paraId="57DF5621" w14:textId="5D806460" w:rsidTr="00644C60">
        <w:trPr>
          <w:jc w:val="center"/>
        </w:trPr>
        <w:tc>
          <w:tcPr>
            <w:tcW w:w="7964" w:type="dxa"/>
            <w:gridSpan w:val="5"/>
          </w:tcPr>
          <w:p w14:paraId="21979DA4" w14:textId="280CB2BA" w:rsidR="00CD1131" w:rsidRPr="00043589" w:rsidRDefault="00070451" w:rsidP="00644C60">
            <w:r w:rsidRPr="00043589">
              <w:t>The effects of explanatory variables on nut production based on GLMM negative binomial regression model.</w:t>
            </w:r>
          </w:p>
        </w:tc>
      </w:tr>
    </w:tbl>
    <w:p w14:paraId="4B0B616C" w14:textId="610A1818" w:rsidR="004E25FA" w:rsidRPr="00043589" w:rsidRDefault="004E25FA" w:rsidP="00070451">
      <w:pPr>
        <w:spacing w:line="480" w:lineRule="auto"/>
        <w:rPr>
          <w:color w:val="000000"/>
          <w:shd w:val="clear" w:color="auto" w:fill="FFFFFF"/>
        </w:rPr>
      </w:pPr>
    </w:p>
    <w:p w14:paraId="1D969E38" w14:textId="77777777" w:rsidR="004B5288" w:rsidRPr="00043589" w:rsidRDefault="004B5288" w:rsidP="004B5288">
      <w:pPr>
        <w:keepNext/>
        <w:spacing w:line="480" w:lineRule="auto"/>
      </w:pPr>
      <w:r w:rsidRPr="00043589">
        <w:rPr>
          <w:noProof/>
          <w:color w:val="000000"/>
          <w:shd w:val="clear" w:color="auto" w:fill="FFFFFF"/>
        </w:rPr>
        <w:lastRenderedPageBreak/>
        <w:drawing>
          <wp:inline distT="0" distB="0" distL="0" distR="0" wp14:anchorId="6A81F924" wp14:editId="1B773F7F">
            <wp:extent cx="5943600" cy="3053080"/>
            <wp:effectExtent l="0" t="0" r="0" b="0"/>
            <wp:docPr id="10" name="Picture 10" descr="A picture containing photo, covered, white,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20-05-07 at 10.35.33 PM.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053080"/>
                    </a:xfrm>
                    <a:prstGeom prst="rect">
                      <a:avLst/>
                    </a:prstGeom>
                  </pic:spPr>
                </pic:pic>
              </a:graphicData>
            </a:graphic>
          </wp:inline>
        </w:drawing>
      </w:r>
    </w:p>
    <w:p w14:paraId="44CAF654" w14:textId="1B88BB3F" w:rsidR="004B5288" w:rsidRPr="009C41A2" w:rsidRDefault="004B5288" w:rsidP="004B5288">
      <w:pPr>
        <w:pStyle w:val="Caption"/>
        <w:rPr>
          <w:color w:val="000000"/>
          <w:sz w:val="24"/>
          <w:szCs w:val="24"/>
          <w:shd w:val="clear" w:color="auto" w:fill="FFFFFF"/>
        </w:rPr>
      </w:pPr>
      <w:r w:rsidRPr="009C41A2">
        <w:rPr>
          <w:sz w:val="24"/>
          <w:szCs w:val="24"/>
        </w:rPr>
        <w:t xml:space="preserve">Figure </w:t>
      </w:r>
      <w:r w:rsidRPr="009C41A2">
        <w:rPr>
          <w:sz w:val="24"/>
          <w:szCs w:val="24"/>
        </w:rPr>
        <w:fldChar w:fldCharType="begin"/>
      </w:r>
      <w:r w:rsidRPr="009C41A2">
        <w:rPr>
          <w:sz w:val="24"/>
          <w:szCs w:val="24"/>
        </w:rPr>
        <w:instrText xml:space="preserve"> SEQ Figure \* ARABIC </w:instrText>
      </w:r>
      <w:r w:rsidRPr="009C41A2">
        <w:rPr>
          <w:sz w:val="24"/>
          <w:szCs w:val="24"/>
        </w:rPr>
        <w:fldChar w:fldCharType="separate"/>
      </w:r>
      <w:r w:rsidRPr="009C41A2">
        <w:rPr>
          <w:noProof/>
          <w:sz w:val="24"/>
          <w:szCs w:val="24"/>
        </w:rPr>
        <w:t>1</w:t>
      </w:r>
      <w:r w:rsidRPr="009C41A2">
        <w:rPr>
          <w:sz w:val="24"/>
          <w:szCs w:val="24"/>
        </w:rPr>
        <w:fldChar w:fldCharType="end"/>
      </w:r>
      <w:r w:rsidRPr="009C41A2">
        <w:rPr>
          <w:sz w:val="24"/>
          <w:szCs w:val="24"/>
        </w:rPr>
        <w:t>: Aerial photographs of Weitchpec, California Demonstrating Encroachment of Pseudotsuga Menziesii on Shortgrass Prairies.</w:t>
      </w:r>
    </w:p>
    <w:p w14:paraId="5BEEBC4F" w14:textId="77777777" w:rsidR="00070451" w:rsidRPr="00043589" w:rsidRDefault="00070451" w:rsidP="00070451">
      <w:pPr>
        <w:keepNext/>
        <w:spacing w:line="480" w:lineRule="auto"/>
        <w:jc w:val="center"/>
      </w:pPr>
      <w:r w:rsidRPr="00043589">
        <w:rPr>
          <w:noProof/>
          <w:color w:val="000000"/>
          <w:shd w:val="clear" w:color="auto" w:fill="FFFFFF"/>
        </w:rPr>
        <w:drawing>
          <wp:inline distT="0" distB="0" distL="0" distR="0" wp14:anchorId="40D1AD75" wp14:editId="19400A70">
            <wp:extent cx="3542190" cy="3558459"/>
            <wp:effectExtent l="0" t="0" r="127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plot03.png"/>
                    <pic:cNvPicPr/>
                  </pic:nvPicPr>
                  <pic:blipFill>
                    <a:blip r:embed="rId13">
                      <a:extLst>
                        <a:ext uri="{28A0092B-C50C-407E-A947-70E740481C1C}">
                          <a14:useLocalDpi xmlns:a14="http://schemas.microsoft.com/office/drawing/2010/main" val="0"/>
                        </a:ext>
                      </a:extLst>
                    </a:blip>
                    <a:stretch>
                      <a:fillRect/>
                    </a:stretch>
                  </pic:blipFill>
                  <pic:spPr>
                    <a:xfrm>
                      <a:off x="0" y="0"/>
                      <a:ext cx="3601357" cy="3617897"/>
                    </a:xfrm>
                    <a:prstGeom prst="rect">
                      <a:avLst/>
                    </a:prstGeom>
                  </pic:spPr>
                </pic:pic>
              </a:graphicData>
            </a:graphic>
          </wp:inline>
        </w:drawing>
      </w:r>
    </w:p>
    <w:p w14:paraId="2158607F" w14:textId="37B00074" w:rsidR="00070451" w:rsidRPr="00043589" w:rsidRDefault="00070451" w:rsidP="00070451">
      <w:pPr>
        <w:pStyle w:val="Caption"/>
        <w:jc w:val="center"/>
        <w:rPr>
          <w:sz w:val="24"/>
          <w:szCs w:val="24"/>
        </w:rPr>
      </w:pPr>
      <w:r w:rsidRPr="00043589">
        <w:rPr>
          <w:sz w:val="24"/>
          <w:szCs w:val="24"/>
        </w:rPr>
        <w:t xml:space="preserve">Figure </w:t>
      </w:r>
      <w:r w:rsidRPr="00043589">
        <w:rPr>
          <w:sz w:val="24"/>
          <w:szCs w:val="24"/>
        </w:rPr>
        <w:fldChar w:fldCharType="begin"/>
      </w:r>
      <w:r w:rsidRPr="00043589">
        <w:rPr>
          <w:sz w:val="24"/>
          <w:szCs w:val="24"/>
        </w:rPr>
        <w:instrText xml:space="preserve"> SEQ Figure \* ARABIC </w:instrText>
      </w:r>
      <w:r w:rsidRPr="00043589">
        <w:rPr>
          <w:sz w:val="24"/>
          <w:szCs w:val="24"/>
        </w:rPr>
        <w:fldChar w:fldCharType="separate"/>
      </w:r>
      <w:r w:rsidR="004B5288" w:rsidRPr="00043589">
        <w:rPr>
          <w:noProof/>
          <w:sz w:val="24"/>
          <w:szCs w:val="24"/>
        </w:rPr>
        <w:t>2</w:t>
      </w:r>
      <w:r w:rsidRPr="00043589">
        <w:rPr>
          <w:sz w:val="24"/>
          <w:szCs w:val="24"/>
        </w:rPr>
        <w:fldChar w:fldCharType="end"/>
      </w:r>
      <w:r w:rsidRPr="00043589">
        <w:rPr>
          <w:sz w:val="24"/>
          <w:szCs w:val="24"/>
        </w:rPr>
        <w:t>: The Effect of Solar Access on Nut Production within TSLF groups</w:t>
      </w:r>
    </w:p>
    <w:p w14:paraId="32795244" w14:textId="77777777" w:rsidR="00070451" w:rsidRPr="00043589" w:rsidRDefault="00070451" w:rsidP="00070451"/>
    <w:p w14:paraId="4AD44DFA" w14:textId="043EC947" w:rsidR="002E18C1" w:rsidRPr="00043589" w:rsidRDefault="004B6A84" w:rsidP="004B6A84">
      <w:pPr>
        <w:spacing w:line="480" w:lineRule="auto"/>
        <w:jc w:val="center"/>
        <w:rPr>
          <w:color w:val="000000"/>
          <w:shd w:val="clear" w:color="auto" w:fill="FFFFFF"/>
        </w:rPr>
      </w:pPr>
      <w:r w:rsidRPr="00043589">
        <w:rPr>
          <w:noProof/>
          <w:color w:val="000000"/>
          <w:shd w:val="clear" w:color="auto" w:fill="FFFFFF"/>
        </w:rPr>
        <w:lastRenderedPageBreak/>
        <w:drawing>
          <wp:inline distT="0" distB="0" distL="0" distR="0" wp14:anchorId="77BC628F" wp14:editId="694924BE">
            <wp:extent cx="3728350" cy="3451912"/>
            <wp:effectExtent l="0" t="0" r="5715" b="254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plot05.png"/>
                    <pic:cNvPicPr/>
                  </pic:nvPicPr>
                  <pic:blipFill>
                    <a:blip r:embed="rId14">
                      <a:extLst>
                        <a:ext uri="{28A0092B-C50C-407E-A947-70E740481C1C}">
                          <a14:useLocalDpi xmlns:a14="http://schemas.microsoft.com/office/drawing/2010/main" val="0"/>
                        </a:ext>
                      </a:extLst>
                    </a:blip>
                    <a:stretch>
                      <a:fillRect/>
                    </a:stretch>
                  </pic:blipFill>
                  <pic:spPr>
                    <a:xfrm>
                      <a:off x="0" y="0"/>
                      <a:ext cx="3767237" cy="3487916"/>
                    </a:xfrm>
                    <a:prstGeom prst="rect">
                      <a:avLst/>
                    </a:prstGeom>
                  </pic:spPr>
                </pic:pic>
              </a:graphicData>
            </a:graphic>
          </wp:inline>
        </w:drawing>
      </w:r>
    </w:p>
    <w:p w14:paraId="66BF5414" w14:textId="465EC41C" w:rsidR="002E18C1" w:rsidRPr="00043589" w:rsidRDefault="00112AAA" w:rsidP="004B6A84">
      <w:pPr>
        <w:pStyle w:val="Caption"/>
        <w:jc w:val="center"/>
        <w:rPr>
          <w:color w:val="000000"/>
          <w:sz w:val="24"/>
          <w:szCs w:val="24"/>
          <w:shd w:val="clear" w:color="auto" w:fill="FFFFFF"/>
        </w:rPr>
      </w:pPr>
      <w:r w:rsidRPr="00043589">
        <w:rPr>
          <w:sz w:val="24"/>
          <w:szCs w:val="24"/>
        </w:rPr>
        <w:t xml:space="preserve">Figure </w:t>
      </w:r>
      <w:r w:rsidRPr="00043589">
        <w:rPr>
          <w:sz w:val="24"/>
          <w:szCs w:val="24"/>
        </w:rPr>
        <w:fldChar w:fldCharType="begin"/>
      </w:r>
      <w:r w:rsidRPr="00043589">
        <w:rPr>
          <w:sz w:val="24"/>
          <w:szCs w:val="24"/>
        </w:rPr>
        <w:instrText xml:space="preserve"> SEQ Figure \* ARABIC </w:instrText>
      </w:r>
      <w:r w:rsidRPr="00043589">
        <w:rPr>
          <w:sz w:val="24"/>
          <w:szCs w:val="24"/>
        </w:rPr>
        <w:fldChar w:fldCharType="separate"/>
      </w:r>
      <w:r w:rsidR="004B5288" w:rsidRPr="00043589">
        <w:rPr>
          <w:noProof/>
          <w:sz w:val="24"/>
          <w:szCs w:val="24"/>
        </w:rPr>
        <w:t>3</w:t>
      </w:r>
      <w:r w:rsidRPr="00043589">
        <w:rPr>
          <w:sz w:val="24"/>
          <w:szCs w:val="24"/>
        </w:rPr>
        <w:fldChar w:fldCharType="end"/>
      </w:r>
      <w:r w:rsidRPr="00043589">
        <w:rPr>
          <w:sz w:val="24"/>
          <w:szCs w:val="24"/>
        </w:rPr>
        <w:t>: Box plot demonstrating higher average nut production in younger burns.</w:t>
      </w:r>
    </w:p>
    <w:p w14:paraId="46B3C9A0" w14:textId="77777777" w:rsidR="00014D4E" w:rsidRPr="00043589" w:rsidRDefault="00014D4E" w:rsidP="00014D4E">
      <w:pPr>
        <w:keepNext/>
        <w:spacing w:line="480" w:lineRule="auto"/>
        <w:jc w:val="center"/>
      </w:pPr>
      <w:r w:rsidRPr="00043589">
        <w:rPr>
          <w:noProof/>
          <w:color w:val="000000"/>
          <w:shd w:val="clear" w:color="auto" w:fill="FFFFFF"/>
        </w:rPr>
        <w:drawing>
          <wp:inline distT="0" distB="0" distL="0" distR="0" wp14:anchorId="36D3A66D" wp14:editId="3B9A8ECD">
            <wp:extent cx="5565913" cy="3716555"/>
            <wp:effectExtent l="0" t="0" r="0" b="508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plot01.png"/>
                    <pic:cNvPicPr/>
                  </pic:nvPicPr>
                  <pic:blipFill>
                    <a:blip r:embed="rId15">
                      <a:extLst>
                        <a:ext uri="{28A0092B-C50C-407E-A947-70E740481C1C}">
                          <a14:useLocalDpi xmlns:a14="http://schemas.microsoft.com/office/drawing/2010/main" val="0"/>
                        </a:ext>
                      </a:extLst>
                    </a:blip>
                    <a:stretch>
                      <a:fillRect/>
                    </a:stretch>
                  </pic:blipFill>
                  <pic:spPr>
                    <a:xfrm>
                      <a:off x="0" y="0"/>
                      <a:ext cx="5581958" cy="3727269"/>
                    </a:xfrm>
                    <a:prstGeom prst="rect">
                      <a:avLst/>
                    </a:prstGeom>
                  </pic:spPr>
                </pic:pic>
              </a:graphicData>
            </a:graphic>
          </wp:inline>
        </w:drawing>
      </w:r>
    </w:p>
    <w:p w14:paraId="118480E7" w14:textId="2351C94E" w:rsidR="00DC3D0E" w:rsidRPr="009C41A2" w:rsidRDefault="00014D4E" w:rsidP="00DC3D0E">
      <w:pPr>
        <w:pStyle w:val="Caption"/>
        <w:jc w:val="center"/>
        <w:rPr>
          <w:sz w:val="24"/>
          <w:szCs w:val="24"/>
        </w:rPr>
      </w:pPr>
      <w:r w:rsidRPr="009C41A2">
        <w:rPr>
          <w:sz w:val="24"/>
          <w:szCs w:val="24"/>
        </w:rPr>
        <w:t xml:space="preserve">Figure </w:t>
      </w:r>
      <w:r w:rsidRPr="009C41A2">
        <w:rPr>
          <w:sz w:val="24"/>
          <w:szCs w:val="24"/>
        </w:rPr>
        <w:fldChar w:fldCharType="begin"/>
      </w:r>
      <w:r w:rsidRPr="009C41A2">
        <w:rPr>
          <w:sz w:val="24"/>
          <w:szCs w:val="24"/>
        </w:rPr>
        <w:instrText xml:space="preserve"> SEQ Figure \* ARABIC </w:instrText>
      </w:r>
      <w:r w:rsidRPr="009C41A2">
        <w:rPr>
          <w:sz w:val="24"/>
          <w:szCs w:val="24"/>
        </w:rPr>
        <w:fldChar w:fldCharType="separate"/>
      </w:r>
      <w:r w:rsidR="004B5288" w:rsidRPr="009C41A2">
        <w:rPr>
          <w:noProof/>
          <w:sz w:val="24"/>
          <w:szCs w:val="24"/>
        </w:rPr>
        <w:t>4</w:t>
      </w:r>
      <w:r w:rsidRPr="009C41A2">
        <w:rPr>
          <w:sz w:val="24"/>
          <w:szCs w:val="24"/>
        </w:rPr>
        <w:fldChar w:fldCharType="end"/>
      </w:r>
      <w:r w:rsidRPr="009C41A2">
        <w:rPr>
          <w:sz w:val="24"/>
          <w:szCs w:val="24"/>
        </w:rPr>
        <w:t>: Comparison of the predicted nuts per shrub from solar access across three TSLF categories</w:t>
      </w:r>
    </w:p>
    <w:p w14:paraId="56AA69E1" w14:textId="77777777" w:rsidR="008D5AB7" w:rsidRPr="00043589" w:rsidRDefault="008D5AB7" w:rsidP="008D5AB7">
      <w:pPr>
        <w:keepNext/>
        <w:spacing w:line="480" w:lineRule="auto"/>
        <w:jc w:val="center"/>
      </w:pPr>
      <w:r w:rsidRPr="00043589">
        <w:rPr>
          <w:noProof/>
          <w:color w:val="000000"/>
          <w:shd w:val="clear" w:color="auto" w:fill="FFFFFF"/>
        </w:rPr>
        <w:lastRenderedPageBreak/>
        <w:drawing>
          <wp:inline distT="0" distB="0" distL="0" distR="0" wp14:anchorId="159EEB38" wp14:editId="2A5C4259">
            <wp:extent cx="4072421" cy="3479832"/>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lot06.png"/>
                    <pic:cNvPicPr/>
                  </pic:nvPicPr>
                  <pic:blipFill>
                    <a:blip r:embed="rId16">
                      <a:extLst>
                        <a:ext uri="{28A0092B-C50C-407E-A947-70E740481C1C}">
                          <a14:useLocalDpi xmlns:a14="http://schemas.microsoft.com/office/drawing/2010/main" val="0"/>
                        </a:ext>
                      </a:extLst>
                    </a:blip>
                    <a:stretch>
                      <a:fillRect/>
                    </a:stretch>
                  </pic:blipFill>
                  <pic:spPr>
                    <a:xfrm>
                      <a:off x="0" y="0"/>
                      <a:ext cx="4133132" cy="3531709"/>
                    </a:xfrm>
                    <a:prstGeom prst="rect">
                      <a:avLst/>
                    </a:prstGeom>
                  </pic:spPr>
                </pic:pic>
              </a:graphicData>
            </a:graphic>
          </wp:inline>
        </w:drawing>
      </w:r>
    </w:p>
    <w:p w14:paraId="53C7F2F1" w14:textId="73E17F8F" w:rsidR="007714FD" w:rsidRPr="009C41A2" w:rsidRDefault="008D5AB7" w:rsidP="008D5AB7">
      <w:pPr>
        <w:pStyle w:val="Caption"/>
        <w:jc w:val="center"/>
        <w:rPr>
          <w:color w:val="000000"/>
          <w:sz w:val="24"/>
          <w:szCs w:val="24"/>
          <w:shd w:val="clear" w:color="auto" w:fill="FFFFFF"/>
        </w:rPr>
      </w:pPr>
      <w:r w:rsidRPr="009C41A2">
        <w:rPr>
          <w:sz w:val="24"/>
          <w:szCs w:val="24"/>
        </w:rPr>
        <w:t xml:space="preserve">Figure </w:t>
      </w:r>
      <w:r w:rsidRPr="009C41A2">
        <w:rPr>
          <w:sz w:val="24"/>
          <w:szCs w:val="24"/>
        </w:rPr>
        <w:fldChar w:fldCharType="begin"/>
      </w:r>
      <w:r w:rsidRPr="009C41A2">
        <w:rPr>
          <w:sz w:val="24"/>
          <w:szCs w:val="24"/>
        </w:rPr>
        <w:instrText xml:space="preserve"> SEQ Figure \* ARABIC </w:instrText>
      </w:r>
      <w:r w:rsidRPr="009C41A2">
        <w:rPr>
          <w:sz w:val="24"/>
          <w:szCs w:val="24"/>
        </w:rPr>
        <w:fldChar w:fldCharType="separate"/>
      </w:r>
      <w:r w:rsidR="004B5288" w:rsidRPr="009C41A2">
        <w:rPr>
          <w:noProof/>
          <w:sz w:val="24"/>
          <w:szCs w:val="24"/>
        </w:rPr>
        <w:t>5</w:t>
      </w:r>
      <w:r w:rsidRPr="009C41A2">
        <w:rPr>
          <w:sz w:val="24"/>
          <w:szCs w:val="24"/>
        </w:rPr>
        <w:fldChar w:fldCharType="end"/>
      </w:r>
      <w:r w:rsidR="00451684" w:rsidRPr="009C41A2">
        <w:rPr>
          <w:sz w:val="24"/>
          <w:szCs w:val="24"/>
        </w:rPr>
        <w:t>:</w:t>
      </w:r>
      <w:r w:rsidRPr="009C41A2">
        <w:rPr>
          <w:sz w:val="24"/>
          <w:szCs w:val="24"/>
        </w:rPr>
        <w:t xml:space="preserve"> Count of California hazelnut nuts predicted based on various levels of solar access across TSLF categories.</w:t>
      </w:r>
    </w:p>
    <w:p w14:paraId="1FF6CC39" w14:textId="77777777" w:rsidR="00451684" w:rsidRPr="00043589" w:rsidRDefault="00451684" w:rsidP="00451684">
      <w:pPr>
        <w:keepNext/>
        <w:spacing w:line="480" w:lineRule="auto"/>
        <w:jc w:val="center"/>
      </w:pPr>
      <w:r w:rsidRPr="00043589">
        <w:rPr>
          <w:noProof/>
          <w:color w:val="000000"/>
          <w:shd w:val="clear" w:color="auto" w:fill="FFFFFF"/>
        </w:rPr>
        <w:drawing>
          <wp:inline distT="0" distB="0" distL="0" distR="0" wp14:anchorId="6F57402D" wp14:editId="6888B98B">
            <wp:extent cx="4098997" cy="2977904"/>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6.png"/>
                    <pic:cNvPicPr/>
                  </pic:nvPicPr>
                  <pic:blipFill>
                    <a:blip r:embed="rId17">
                      <a:extLst>
                        <a:ext uri="{28A0092B-C50C-407E-A947-70E740481C1C}">
                          <a14:useLocalDpi xmlns:a14="http://schemas.microsoft.com/office/drawing/2010/main" val="0"/>
                        </a:ext>
                      </a:extLst>
                    </a:blip>
                    <a:stretch>
                      <a:fillRect/>
                    </a:stretch>
                  </pic:blipFill>
                  <pic:spPr>
                    <a:xfrm>
                      <a:off x="0" y="0"/>
                      <a:ext cx="4130265" cy="3000620"/>
                    </a:xfrm>
                    <a:prstGeom prst="rect">
                      <a:avLst/>
                    </a:prstGeom>
                  </pic:spPr>
                </pic:pic>
              </a:graphicData>
            </a:graphic>
          </wp:inline>
        </w:drawing>
      </w:r>
    </w:p>
    <w:p w14:paraId="6EFA23AE" w14:textId="1BA4E76A" w:rsidR="00493DFE" w:rsidRPr="009C41A2" w:rsidRDefault="00451684" w:rsidP="00721A6E">
      <w:pPr>
        <w:pStyle w:val="Caption"/>
        <w:jc w:val="center"/>
        <w:rPr>
          <w:sz w:val="24"/>
          <w:szCs w:val="24"/>
        </w:rPr>
      </w:pPr>
      <w:r w:rsidRPr="009C41A2">
        <w:rPr>
          <w:sz w:val="24"/>
          <w:szCs w:val="24"/>
        </w:rPr>
        <w:t xml:space="preserve">Figure </w:t>
      </w:r>
      <w:r w:rsidRPr="009C41A2">
        <w:rPr>
          <w:sz w:val="24"/>
          <w:szCs w:val="24"/>
        </w:rPr>
        <w:fldChar w:fldCharType="begin"/>
      </w:r>
      <w:r w:rsidRPr="009C41A2">
        <w:rPr>
          <w:sz w:val="24"/>
          <w:szCs w:val="24"/>
        </w:rPr>
        <w:instrText xml:space="preserve"> SEQ Figure \* ARABIC </w:instrText>
      </w:r>
      <w:r w:rsidRPr="009C41A2">
        <w:rPr>
          <w:sz w:val="24"/>
          <w:szCs w:val="24"/>
        </w:rPr>
        <w:fldChar w:fldCharType="separate"/>
      </w:r>
      <w:r w:rsidR="004B5288" w:rsidRPr="009C41A2">
        <w:rPr>
          <w:noProof/>
          <w:sz w:val="24"/>
          <w:szCs w:val="24"/>
        </w:rPr>
        <w:t>6</w:t>
      </w:r>
      <w:r w:rsidRPr="009C41A2">
        <w:rPr>
          <w:sz w:val="24"/>
          <w:szCs w:val="24"/>
        </w:rPr>
        <w:fldChar w:fldCharType="end"/>
      </w:r>
      <w:r w:rsidRPr="009C41A2">
        <w:rPr>
          <w:sz w:val="24"/>
          <w:szCs w:val="24"/>
        </w:rPr>
        <w:t>: Scatter plot demonstrating heteroskedasticity in Nut data over Solar Access</w:t>
      </w:r>
    </w:p>
    <w:p w14:paraId="204E8E9F" w14:textId="77777777" w:rsidR="00721A6E" w:rsidRPr="00043589" w:rsidRDefault="00721A6E" w:rsidP="00721A6E"/>
    <w:p w14:paraId="24085D02" w14:textId="77777777" w:rsidR="00E866BF" w:rsidRDefault="00E866BF" w:rsidP="009D7EF0">
      <w:pPr>
        <w:pStyle w:val="NormalWeb"/>
        <w:spacing w:line="480" w:lineRule="auto"/>
        <w:jc w:val="center"/>
        <w:rPr>
          <w:color w:val="000000"/>
        </w:rPr>
      </w:pPr>
    </w:p>
    <w:p w14:paraId="5562D7DE" w14:textId="77777777" w:rsidR="00784D16" w:rsidRDefault="00E866BF" w:rsidP="00F263E4">
      <w:pPr>
        <w:pStyle w:val="NormalWeb"/>
        <w:spacing w:line="480" w:lineRule="auto"/>
        <w:jc w:val="center"/>
        <w:rPr>
          <w:color w:val="000000"/>
        </w:rPr>
      </w:pPr>
      <w:r>
        <w:rPr>
          <w:color w:val="000000"/>
        </w:rPr>
        <w:lastRenderedPageBreak/>
        <w:t>Bibliography</w:t>
      </w:r>
    </w:p>
    <w:p w14:paraId="452C452C" w14:textId="7259A68C" w:rsidR="009E78B0" w:rsidRDefault="00784D16" w:rsidP="00784D16">
      <w:pPr>
        <w:pStyle w:val="NormalWeb"/>
        <w:spacing w:line="480" w:lineRule="auto"/>
        <w:ind w:left="480" w:hanging="480"/>
      </w:pPr>
      <w:r w:rsidRPr="0056172E">
        <w:t>Abatzoglou, J</w:t>
      </w:r>
      <w:r>
        <w:t>.</w:t>
      </w:r>
      <w:r w:rsidRPr="0056172E">
        <w:t>T. and Williams</w:t>
      </w:r>
      <w:r>
        <w:t>,</w:t>
      </w:r>
      <w:r w:rsidRPr="0056172E">
        <w:t xml:space="preserve"> A</w:t>
      </w:r>
      <w:r>
        <w:t>.P.,</w:t>
      </w:r>
      <w:r w:rsidRPr="0056172E">
        <w:t xml:space="preserve"> “Impact of Anthropogenic Climate Change on Wildfire across Western US Forests.” </w:t>
      </w:r>
      <w:r w:rsidRPr="0056172E">
        <w:rPr>
          <w:i/>
          <w:iCs/>
        </w:rPr>
        <w:t>Proceedings of the National Academy of Sciences of the United States of America</w:t>
      </w:r>
      <w:r w:rsidRPr="0056172E">
        <w:t> 113.42 (2016): 11770–11775. </w:t>
      </w:r>
      <w:r w:rsidRPr="0056172E">
        <w:rPr>
          <w:i/>
          <w:iCs/>
        </w:rPr>
        <w:t>Proceedings of the National Academy of Sciences of the United States of America</w:t>
      </w:r>
      <w:r w:rsidRPr="0056172E">
        <w:t>. Web.</w:t>
      </w:r>
    </w:p>
    <w:p w14:paraId="74574683" w14:textId="4CE68A19" w:rsidR="009E78B0" w:rsidRDefault="009E78B0" w:rsidP="009E78B0">
      <w:pPr>
        <w:pStyle w:val="NormalWeb"/>
        <w:spacing w:line="480" w:lineRule="auto"/>
        <w:ind w:left="480" w:hanging="480"/>
      </w:pPr>
      <w:r w:rsidRPr="00043589">
        <w:t xml:space="preserve">Anderson MK. </w:t>
      </w:r>
      <w:r w:rsidRPr="00784D16">
        <w:rPr>
          <w:i/>
          <w:iCs/>
        </w:rPr>
        <w:t>Tending the wild: Native American knowledge and the management of California's natural resources</w:t>
      </w:r>
      <w:r w:rsidRPr="00043589">
        <w:t>. Berkeley, CA: University of California Press.</w:t>
      </w:r>
      <w:r w:rsidRPr="00784D16">
        <w:t xml:space="preserve"> </w:t>
      </w:r>
      <w:r w:rsidRPr="00043589">
        <w:t>2005.</w:t>
      </w:r>
    </w:p>
    <w:p w14:paraId="510A9D92" w14:textId="6CBD77B5" w:rsidR="009E78B0" w:rsidRDefault="009E78B0" w:rsidP="009E78B0">
      <w:pPr>
        <w:pStyle w:val="NormalWeb"/>
        <w:spacing w:line="480" w:lineRule="auto"/>
        <w:ind w:left="480" w:hanging="480"/>
      </w:pPr>
      <w:r w:rsidRPr="00043589">
        <w:t>B</w:t>
      </w:r>
      <w:r>
        <w:t>iswell</w:t>
      </w:r>
      <w:r w:rsidRPr="00043589">
        <w:t>, H.</w:t>
      </w:r>
      <w:r>
        <w:t xml:space="preserve"> </w:t>
      </w:r>
      <w:r w:rsidRPr="00784D16">
        <w:rPr>
          <w:i/>
          <w:iCs/>
        </w:rPr>
        <w:t>Prescribed burning in California wildlands vegetation management.</w:t>
      </w:r>
      <w:r w:rsidRPr="00043589">
        <w:t xml:space="preserve"> Berkeley: University of California Press. 1989.</w:t>
      </w:r>
    </w:p>
    <w:p w14:paraId="4AC9051D" w14:textId="77777777" w:rsidR="009E78B0" w:rsidRDefault="009E78B0" w:rsidP="009E78B0">
      <w:pPr>
        <w:pStyle w:val="NormalWeb"/>
        <w:spacing w:line="480" w:lineRule="auto"/>
        <w:ind w:left="480" w:hanging="480"/>
      </w:pPr>
      <w:r w:rsidRPr="00043589">
        <w:t>Boyd, R</w:t>
      </w:r>
      <w:r>
        <w:t xml:space="preserve">. </w:t>
      </w:r>
      <w:r w:rsidRPr="00043589">
        <w:t>Strategies of Indian burning in the Willamette Valley. In: Boyd, Robert, ed. Indians, fire and the land in the Pacific Northwest. Corvallis, OR: Oregon State University Press</w:t>
      </w:r>
      <w:r>
        <w:t xml:space="preserve">. </w:t>
      </w:r>
      <w:r w:rsidRPr="00043589">
        <w:t>1999</w:t>
      </w:r>
      <w:r>
        <w:t>:</w:t>
      </w:r>
      <w:r w:rsidRPr="00043589">
        <w:t xml:space="preserve"> 94-138. [35572]</w:t>
      </w:r>
    </w:p>
    <w:p w14:paraId="5A50FB85" w14:textId="58C251C1" w:rsidR="00493DFE" w:rsidRPr="00784D16" w:rsidRDefault="009E78B0" w:rsidP="009E78B0">
      <w:pPr>
        <w:pStyle w:val="NormalWeb"/>
        <w:spacing w:line="480" w:lineRule="auto"/>
        <w:ind w:left="480" w:hanging="480"/>
      </w:pPr>
      <w:r w:rsidRPr="0056172E">
        <w:t xml:space="preserve">Calkin, D.E., Thompson, M.P. &amp; Finney, M.A. </w:t>
      </w:r>
      <w:r>
        <w:t>“</w:t>
      </w:r>
      <w:r w:rsidRPr="0056172E">
        <w:t>Negative consequences of positive feedbacks in US wildfire management. For. Ecosyst.</w:t>
      </w:r>
      <w:r>
        <w:t>”</w:t>
      </w:r>
      <w:r w:rsidRPr="0056172E">
        <w:t xml:space="preserve"> 2</w:t>
      </w:r>
      <w:r>
        <w:t>(</w:t>
      </w:r>
      <w:r w:rsidRPr="0056172E">
        <w:t>9</w:t>
      </w:r>
      <w:r>
        <w:t>),</w:t>
      </w:r>
      <w:r w:rsidRPr="0056172E">
        <w:t xml:space="preserve"> (2015). </w:t>
      </w:r>
      <w:hyperlink r:id="rId18" w:history="1">
        <w:r w:rsidRPr="00442D81">
          <w:rPr>
            <w:rStyle w:val="Hyperlink"/>
          </w:rPr>
          <w:t>https://doi.org/10.1186/s40663-015-0033-8</w:t>
        </w:r>
      </w:hyperlink>
      <w:r w:rsidR="00493DFE" w:rsidRPr="00043589">
        <w:fldChar w:fldCharType="begin" w:fldLock="1"/>
      </w:r>
      <w:r w:rsidR="00493DFE" w:rsidRPr="00043589">
        <w:instrText xml:space="preserve">ADDIN Mendeley Bibliography CSL_BIBLIOGRAPHY </w:instrText>
      </w:r>
      <w:r w:rsidR="00493DFE" w:rsidRPr="00043589">
        <w:fldChar w:fldCharType="separate"/>
      </w:r>
    </w:p>
    <w:p w14:paraId="6FCE07C9" w14:textId="4598E9A8" w:rsidR="00493DFE" w:rsidRPr="00043589" w:rsidRDefault="00493DFE" w:rsidP="009D7EF0">
      <w:pPr>
        <w:widowControl w:val="0"/>
        <w:autoSpaceDE w:val="0"/>
        <w:autoSpaceDN w:val="0"/>
        <w:adjustRightInd w:val="0"/>
        <w:spacing w:after="120" w:line="480" w:lineRule="auto"/>
        <w:ind w:left="480" w:hanging="480"/>
        <w:rPr>
          <w:noProof/>
        </w:rPr>
      </w:pPr>
      <w:r w:rsidRPr="00043589">
        <w:rPr>
          <w:noProof/>
        </w:rPr>
        <w:t xml:space="preserve">Diver, S. </w:t>
      </w:r>
      <w:r w:rsidR="00F263E4">
        <w:rPr>
          <w:noProof/>
        </w:rPr>
        <w:t>"</w:t>
      </w:r>
      <w:r w:rsidRPr="00043589">
        <w:rPr>
          <w:noProof/>
        </w:rPr>
        <w:t>Co-management as a Catalyst: Pathways to Post-colonial Forestry in the Klamath Basin, California.</w:t>
      </w:r>
      <w:r w:rsidR="00F263E4">
        <w:rPr>
          <w:noProof/>
        </w:rPr>
        <w:t>"</w:t>
      </w:r>
      <w:r w:rsidRPr="00043589">
        <w:rPr>
          <w:noProof/>
        </w:rPr>
        <w:t xml:space="preserve"> </w:t>
      </w:r>
      <w:r w:rsidRPr="00043589">
        <w:rPr>
          <w:i/>
          <w:iCs/>
          <w:noProof/>
        </w:rPr>
        <w:t>Human Ecology</w:t>
      </w:r>
      <w:r w:rsidRPr="00043589">
        <w:rPr>
          <w:noProof/>
        </w:rPr>
        <w:t xml:space="preserve">, </w:t>
      </w:r>
      <w:r w:rsidRPr="00043589">
        <w:rPr>
          <w:i/>
          <w:iCs/>
          <w:noProof/>
        </w:rPr>
        <w:t>44</w:t>
      </w:r>
      <w:r w:rsidRPr="00043589">
        <w:rPr>
          <w:noProof/>
        </w:rPr>
        <w:t xml:space="preserve">(5), </w:t>
      </w:r>
      <w:r w:rsidR="00F263E4" w:rsidRPr="00043589">
        <w:rPr>
          <w:noProof/>
        </w:rPr>
        <w:t>(2016)</w:t>
      </w:r>
      <w:r w:rsidR="00F263E4">
        <w:rPr>
          <w:noProof/>
        </w:rPr>
        <w:t xml:space="preserve">: </w:t>
      </w:r>
      <w:r w:rsidRPr="00043589">
        <w:rPr>
          <w:noProof/>
        </w:rPr>
        <w:t>533–546.</w:t>
      </w:r>
    </w:p>
    <w:p w14:paraId="4E0DAE7E" w14:textId="4800EE50" w:rsidR="00493DFE" w:rsidRPr="00043589" w:rsidRDefault="00493DFE" w:rsidP="009D7EF0">
      <w:pPr>
        <w:widowControl w:val="0"/>
        <w:autoSpaceDE w:val="0"/>
        <w:autoSpaceDN w:val="0"/>
        <w:adjustRightInd w:val="0"/>
        <w:spacing w:after="120" w:line="480" w:lineRule="auto"/>
        <w:ind w:left="480" w:hanging="480"/>
        <w:rPr>
          <w:noProof/>
        </w:rPr>
      </w:pPr>
      <w:r w:rsidRPr="00043589">
        <w:rPr>
          <w:noProof/>
        </w:rPr>
        <w:t xml:space="preserve">Diver, S. </w:t>
      </w:r>
      <w:r w:rsidR="00F263E4">
        <w:rPr>
          <w:noProof/>
        </w:rPr>
        <w:t>"</w:t>
      </w:r>
      <w:r w:rsidRPr="00043589">
        <w:rPr>
          <w:noProof/>
        </w:rPr>
        <w:t>Negotiating Indigenous knowledge at the science-policy interface: Insights from the Xaxli’p Community Forest.</w:t>
      </w:r>
      <w:r w:rsidR="00F263E4">
        <w:rPr>
          <w:noProof/>
        </w:rPr>
        <w:t>"</w:t>
      </w:r>
      <w:r w:rsidRPr="00043589">
        <w:rPr>
          <w:noProof/>
        </w:rPr>
        <w:t xml:space="preserve"> </w:t>
      </w:r>
      <w:r w:rsidRPr="00043589">
        <w:rPr>
          <w:i/>
          <w:iCs/>
          <w:noProof/>
        </w:rPr>
        <w:t>Environmental Science and Policy</w:t>
      </w:r>
      <w:r w:rsidRPr="00043589">
        <w:rPr>
          <w:noProof/>
        </w:rPr>
        <w:t xml:space="preserve">, </w:t>
      </w:r>
      <w:r w:rsidRPr="00043589">
        <w:rPr>
          <w:i/>
          <w:iCs/>
          <w:noProof/>
        </w:rPr>
        <w:t>73</w:t>
      </w:r>
      <w:r w:rsidRPr="00043589">
        <w:rPr>
          <w:noProof/>
        </w:rPr>
        <w:t xml:space="preserve">(1), </w:t>
      </w:r>
      <w:r w:rsidR="00F263E4" w:rsidRPr="00043589">
        <w:rPr>
          <w:noProof/>
        </w:rPr>
        <w:t>(2018)</w:t>
      </w:r>
      <w:r w:rsidR="00F263E4">
        <w:rPr>
          <w:noProof/>
        </w:rPr>
        <w:t xml:space="preserve">: </w:t>
      </w:r>
      <w:r w:rsidRPr="00043589">
        <w:rPr>
          <w:noProof/>
        </w:rPr>
        <w:t>1–11. https://doi.org/10.1016/j.envsci.2017.03.001</w:t>
      </w:r>
    </w:p>
    <w:p w14:paraId="606FDC65" w14:textId="6A193948" w:rsidR="00493DFE" w:rsidRPr="00043589" w:rsidRDefault="00493DFE" w:rsidP="009D7EF0">
      <w:pPr>
        <w:widowControl w:val="0"/>
        <w:autoSpaceDE w:val="0"/>
        <w:autoSpaceDN w:val="0"/>
        <w:adjustRightInd w:val="0"/>
        <w:spacing w:after="120" w:line="480" w:lineRule="auto"/>
        <w:ind w:left="480" w:hanging="480"/>
        <w:rPr>
          <w:noProof/>
        </w:rPr>
      </w:pPr>
      <w:r w:rsidRPr="00043589">
        <w:rPr>
          <w:noProof/>
        </w:rPr>
        <w:lastRenderedPageBreak/>
        <w:t>Evans, M. T., &amp; Young, R. W.</w:t>
      </w:r>
      <w:r w:rsidR="00F263E4">
        <w:rPr>
          <w:noProof/>
        </w:rPr>
        <w:t xml:space="preserve"> "</w:t>
      </w:r>
      <w:r w:rsidRPr="00043589">
        <w:rPr>
          <w:noProof/>
        </w:rPr>
        <w:t xml:space="preserve"> </w:t>
      </w:r>
      <w:r w:rsidRPr="00043589">
        <w:rPr>
          <w:i/>
          <w:iCs/>
          <w:noProof/>
        </w:rPr>
        <w:t>Audit Report: Forest Service Large Fire Suppression Costs</w:t>
      </w:r>
      <w:r w:rsidRPr="00043589">
        <w:rPr>
          <w:noProof/>
        </w:rPr>
        <w:t>.</w:t>
      </w:r>
      <w:r w:rsidR="00F263E4">
        <w:rPr>
          <w:noProof/>
        </w:rPr>
        <w:t xml:space="preserve">" </w:t>
      </w:r>
      <w:r w:rsidR="00F263E4" w:rsidRPr="00043589">
        <w:rPr>
          <w:noProof/>
        </w:rPr>
        <w:t xml:space="preserve">(2006). </w:t>
      </w:r>
      <w:r w:rsidRPr="00043589">
        <w:rPr>
          <w:noProof/>
        </w:rPr>
        <w:t>Retrieved from https://www.usda.gov/oig/webdocs/08601-44-SF.pdf</w:t>
      </w:r>
    </w:p>
    <w:p w14:paraId="3E66F26C" w14:textId="62A6A813" w:rsidR="00493DFE" w:rsidRDefault="00493DFE" w:rsidP="009D7EF0">
      <w:pPr>
        <w:widowControl w:val="0"/>
        <w:autoSpaceDE w:val="0"/>
        <w:autoSpaceDN w:val="0"/>
        <w:adjustRightInd w:val="0"/>
        <w:spacing w:after="120" w:line="480" w:lineRule="auto"/>
        <w:ind w:left="480" w:hanging="480"/>
        <w:rPr>
          <w:noProof/>
        </w:rPr>
      </w:pPr>
      <w:r w:rsidRPr="00043589">
        <w:rPr>
          <w:noProof/>
        </w:rPr>
        <w:t xml:space="preserve">Fischer, A. P., &amp; Charnley, S. (2012). </w:t>
      </w:r>
      <w:r w:rsidR="00F263E4">
        <w:rPr>
          <w:noProof/>
        </w:rPr>
        <w:t>"</w:t>
      </w:r>
      <w:r w:rsidRPr="00043589">
        <w:rPr>
          <w:noProof/>
        </w:rPr>
        <w:t>Risk and cooperation: Managing hazardous fuel in mixed ownership landscapes.</w:t>
      </w:r>
      <w:r w:rsidR="00F263E4">
        <w:rPr>
          <w:noProof/>
        </w:rPr>
        <w:t>"</w:t>
      </w:r>
      <w:r w:rsidRPr="00043589">
        <w:rPr>
          <w:noProof/>
        </w:rPr>
        <w:t xml:space="preserve"> </w:t>
      </w:r>
      <w:r w:rsidRPr="00043589">
        <w:rPr>
          <w:i/>
          <w:iCs/>
          <w:noProof/>
        </w:rPr>
        <w:t>Environmental Management</w:t>
      </w:r>
      <w:r w:rsidRPr="00043589">
        <w:rPr>
          <w:noProof/>
        </w:rPr>
        <w:t xml:space="preserve">, </w:t>
      </w:r>
      <w:r w:rsidRPr="00043589">
        <w:rPr>
          <w:i/>
          <w:iCs/>
          <w:noProof/>
        </w:rPr>
        <w:t>49</w:t>
      </w:r>
      <w:r w:rsidRPr="00043589">
        <w:rPr>
          <w:noProof/>
        </w:rPr>
        <w:t xml:space="preserve">(6), </w:t>
      </w:r>
      <w:r w:rsidR="00F263E4" w:rsidRPr="00043589">
        <w:rPr>
          <w:noProof/>
        </w:rPr>
        <w:t>(2012)</w:t>
      </w:r>
      <w:r w:rsidR="00F263E4">
        <w:rPr>
          <w:noProof/>
        </w:rPr>
        <w:t>:</w:t>
      </w:r>
      <w:r w:rsidRPr="00043589">
        <w:rPr>
          <w:noProof/>
        </w:rPr>
        <w:t>1192–1207. https://doi.org/10.1007/s00267-012-9848-z</w:t>
      </w:r>
    </w:p>
    <w:p w14:paraId="1C027300" w14:textId="77777777" w:rsidR="009E78B0" w:rsidRPr="00043589" w:rsidRDefault="009E78B0" w:rsidP="009E78B0">
      <w:pPr>
        <w:spacing w:line="480" w:lineRule="auto"/>
        <w:rPr>
          <w:color w:val="000000"/>
          <w:shd w:val="clear" w:color="auto" w:fill="FFFFFF"/>
        </w:rPr>
      </w:pPr>
      <w:r w:rsidRPr="00043589">
        <w:rPr>
          <w:color w:val="000000"/>
          <w:shd w:val="clear" w:color="auto" w:fill="FFFFFF"/>
        </w:rPr>
        <w:t xml:space="preserve">Fryer, Janet L. Corylus cornuta. In: Fire Effects Information System, [Online]. U.S. </w:t>
      </w:r>
    </w:p>
    <w:p w14:paraId="2E8AC05D" w14:textId="6ABCD084" w:rsidR="009E78B0" w:rsidRPr="00043589" w:rsidRDefault="009E78B0" w:rsidP="009E78B0">
      <w:pPr>
        <w:spacing w:line="480" w:lineRule="auto"/>
        <w:ind w:left="720"/>
      </w:pPr>
      <w:r w:rsidRPr="00043589">
        <w:rPr>
          <w:color w:val="000000"/>
          <w:shd w:val="clear" w:color="auto" w:fill="FFFFFF"/>
        </w:rPr>
        <w:t>Department of Agriculture, Forest Service, Rocky Mountain Research Station, Fire Sciences Laboratory (Producer). 2007.</w:t>
      </w:r>
      <w:r>
        <w:rPr>
          <w:color w:val="000000"/>
          <w:shd w:val="clear" w:color="auto" w:fill="FFFFFF"/>
        </w:rPr>
        <w:t xml:space="preserve"> </w:t>
      </w:r>
      <w:r w:rsidRPr="00043589">
        <w:rPr>
          <w:color w:val="000000"/>
          <w:shd w:val="clear" w:color="auto" w:fill="FFFFFF"/>
        </w:rPr>
        <w:t>Available: https://www.fs.fed.us/database/feis/</w:t>
      </w:r>
      <w:r w:rsidRPr="00043589">
        <w:rPr>
          <w:color w:val="000000"/>
        </w:rPr>
        <w:t>plants/shrub/corcor/all.html</w:t>
      </w:r>
      <w:r w:rsidRPr="00043589">
        <w:rPr>
          <w:color w:val="000000"/>
          <w:shd w:val="clear" w:color="auto" w:fill="FFFFFF"/>
        </w:rPr>
        <w:t> [2019, November 18]</w:t>
      </w:r>
    </w:p>
    <w:p w14:paraId="62DEA876" w14:textId="4D78CEA8" w:rsidR="00493DFE" w:rsidRDefault="00493DFE" w:rsidP="009D7EF0">
      <w:pPr>
        <w:widowControl w:val="0"/>
        <w:autoSpaceDE w:val="0"/>
        <w:autoSpaceDN w:val="0"/>
        <w:adjustRightInd w:val="0"/>
        <w:spacing w:before="100" w:after="100" w:line="480" w:lineRule="auto"/>
        <w:ind w:left="480" w:hanging="480"/>
        <w:rPr>
          <w:noProof/>
        </w:rPr>
      </w:pPr>
      <w:r w:rsidRPr="00043589">
        <w:rPr>
          <w:noProof/>
        </w:rPr>
        <w:t xml:space="preserve">Hammer, </w:t>
      </w:r>
      <w:r w:rsidR="00F263E4">
        <w:rPr>
          <w:noProof/>
        </w:rPr>
        <w:t>R</w:t>
      </w:r>
      <w:r w:rsidRPr="00043589">
        <w:rPr>
          <w:noProof/>
        </w:rPr>
        <w:t xml:space="preserve">B., et al. “Wildlandurban Interface Housing Growth during the 1990s in California, Oregon, and Washington.” </w:t>
      </w:r>
      <w:r w:rsidRPr="00043589">
        <w:rPr>
          <w:i/>
          <w:iCs/>
          <w:noProof/>
        </w:rPr>
        <w:t>International Journal of Wildland Fire</w:t>
      </w:r>
      <w:r w:rsidRPr="00043589">
        <w:rPr>
          <w:noProof/>
        </w:rPr>
        <w:t xml:space="preserve">, </w:t>
      </w:r>
      <w:r w:rsidR="00F263E4">
        <w:rPr>
          <w:noProof/>
        </w:rPr>
        <w:t>16(3)</w:t>
      </w:r>
      <w:r w:rsidRPr="00043589">
        <w:rPr>
          <w:noProof/>
        </w:rPr>
        <w:t xml:space="preserve">, </w:t>
      </w:r>
      <w:r w:rsidR="00F263E4">
        <w:rPr>
          <w:noProof/>
        </w:rPr>
        <w:t>(</w:t>
      </w:r>
      <w:r w:rsidRPr="00043589">
        <w:rPr>
          <w:noProof/>
        </w:rPr>
        <w:t>2007</w:t>
      </w:r>
      <w:r w:rsidR="00F263E4">
        <w:rPr>
          <w:noProof/>
        </w:rPr>
        <w:t xml:space="preserve">): </w:t>
      </w:r>
      <w:r w:rsidRPr="00043589">
        <w:rPr>
          <w:noProof/>
        </w:rPr>
        <w:t>255–65</w:t>
      </w:r>
      <w:r w:rsidR="00F263E4">
        <w:rPr>
          <w:noProof/>
        </w:rPr>
        <w:t xml:space="preserve">. </w:t>
      </w:r>
      <w:r w:rsidRPr="00043589">
        <w:rPr>
          <w:noProof/>
        </w:rPr>
        <w:t>doi:10.1071/WF05077.</w:t>
      </w:r>
    </w:p>
    <w:p w14:paraId="2E9CD4C8" w14:textId="5D962252" w:rsidR="009E78B0" w:rsidRDefault="009E78B0" w:rsidP="009E78B0">
      <w:pPr>
        <w:pStyle w:val="NormalWeb"/>
        <w:spacing w:line="480" w:lineRule="auto"/>
        <w:ind w:left="480" w:hanging="480"/>
      </w:pPr>
      <w:r w:rsidRPr="0094492E">
        <w:t xml:space="preserve">Hoopa Valley Indian Reservation (2015). Community Wildfire Protection Plan [WWW Document]. URL </w:t>
      </w:r>
      <w:hyperlink r:id="rId19" w:history="1">
        <w:r w:rsidRPr="0094492E">
          <w:rPr>
            <w:rStyle w:val="Hyperlink"/>
          </w:rPr>
          <w:t>https://www.hoopa-nsn.gov/wp-content/uploads/2018/12/Community-Wildfire-Protection-Plan.pdf</w:t>
        </w:r>
      </w:hyperlink>
    </w:p>
    <w:p w14:paraId="63AF8891" w14:textId="6EA57151" w:rsidR="009E78B0" w:rsidRDefault="009E78B0" w:rsidP="009E78B0">
      <w:pPr>
        <w:pStyle w:val="NormalWeb"/>
        <w:spacing w:line="480" w:lineRule="auto"/>
        <w:ind w:left="480" w:hanging="480"/>
      </w:pPr>
      <w:r w:rsidRPr="0094492E">
        <w:t xml:space="preserve">Karuk Tribe (2010). Department of Natural Resources Eco-Cultural Resources Management Plan [WWW Document]. URL </w:t>
      </w:r>
      <w:hyperlink r:id="rId20" w:history="1">
        <w:r w:rsidRPr="0094492E">
          <w:rPr>
            <w:rStyle w:val="Hyperlink"/>
          </w:rPr>
          <w:t>https://www.karuk.us/images/docs/dnr/ECRMP_6-15-10_doc.pdf</w:t>
        </w:r>
      </w:hyperlink>
    </w:p>
    <w:p w14:paraId="47FF029B" w14:textId="19DE703E" w:rsidR="009E78B0" w:rsidRPr="00043589" w:rsidRDefault="009E78B0" w:rsidP="009E78B0">
      <w:pPr>
        <w:pStyle w:val="NormalWeb"/>
        <w:spacing w:line="480" w:lineRule="auto"/>
        <w:ind w:left="480" w:hanging="480"/>
      </w:pPr>
      <w:r w:rsidRPr="00353524">
        <w:t xml:space="preserve">Kalies, E.L., and Larissa, L., Kent,Y. “Tamm Review: Are Fuel Treatments Effective at Achieving Ecological and Social Objectives? A Systematic Review.” </w:t>
      </w:r>
      <w:r w:rsidRPr="00353524">
        <w:rPr>
          <w:i/>
          <w:iCs/>
        </w:rPr>
        <w:t>Forest Ecology and Management</w:t>
      </w:r>
      <w:r w:rsidRPr="00353524">
        <w:t>, 375, (2016): 84–95, doi:https://doi.org/10.1016/j.foreco.2016.05.021.</w:t>
      </w:r>
    </w:p>
    <w:p w14:paraId="55533CBD" w14:textId="63369459" w:rsidR="00493DFE" w:rsidRPr="00043589" w:rsidRDefault="00493DFE" w:rsidP="009D7EF0">
      <w:pPr>
        <w:widowControl w:val="0"/>
        <w:autoSpaceDE w:val="0"/>
        <w:autoSpaceDN w:val="0"/>
        <w:adjustRightInd w:val="0"/>
        <w:spacing w:before="100" w:after="100" w:line="480" w:lineRule="auto"/>
        <w:ind w:left="480" w:hanging="480"/>
        <w:rPr>
          <w:noProof/>
        </w:rPr>
      </w:pPr>
      <w:r w:rsidRPr="00043589">
        <w:rPr>
          <w:noProof/>
        </w:rPr>
        <w:lastRenderedPageBreak/>
        <w:t xml:space="preserve">Kimmerer, R. W. and </w:t>
      </w:r>
      <w:r w:rsidR="00F263E4">
        <w:rPr>
          <w:noProof/>
        </w:rPr>
        <w:t>Lake, FK.</w:t>
      </w:r>
      <w:r w:rsidRPr="00043589">
        <w:rPr>
          <w:noProof/>
        </w:rPr>
        <w:t xml:space="preserve"> “Maintaining the Mosaic: The Role of Indigenous Burning in Land Management.” </w:t>
      </w:r>
      <w:r w:rsidRPr="00043589">
        <w:rPr>
          <w:i/>
          <w:iCs/>
          <w:noProof/>
        </w:rPr>
        <w:t>Journal of Forestry</w:t>
      </w:r>
      <w:r w:rsidRPr="00043589">
        <w:rPr>
          <w:noProof/>
        </w:rPr>
        <w:t xml:space="preserve">, </w:t>
      </w:r>
      <w:r w:rsidR="00F263E4">
        <w:rPr>
          <w:noProof/>
        </w:rPr>
        <w:t>99(11)</w:t>
      </w:r>
      <w:r w:rsidRPr="00043589">
        <w:rPr>
          <w:noProof/>
        </w:rPr>
        <w:t xml:space="preserve">, </w:t>
      </w:r>
      <w:r w:rsidR="00F263E4">
        <w:rPr>
          <w:noProof/>
        </w:rPr>
        <w:t>(</w:t>
      </w:r>
      <w:r w:rsidRPr="00043589">
        <w:rPr>
          <w:noProof/>
        </w:rPr>
        <w:t>2001</w:t>
      </w:r>
      <w:r w:rsidR="00F263E4">
        <w:rPr>
          <w:noProof/>
        </w:rPr>
        <w:t>):</w:t>
      </w:r>
      <w:r w:rsidRPr="00043589">
        <w:rPr>
          <w:noProof/>
        </w:rPr>
        <w:t>36–41, doi:10.1093/jof/99.11.36.</w:t>
      </w:r>
    </w:p>
    <w:p w14:paraId="79D5EA6F" w14:textId="0D776299" w:rsidR="00493DFE" w:rsidRDefault="00493DFE" w:rsidP="009D7EF0">
      <w:pPr>
        <w:widowControl w:val="0"/>
        <w:autoSpaceDE w:val="0"/>
        <w:autoSpaceDN w:val="0"/>
        <w:adjustRightInd w:val="0"/>
        <w:spacing w:after="120" w:line="480" w:lineRule="auto"/>
        <w:ind w:left="480" w:hanging="480"/>
        <w:rPr>
          <w:noProof/>
        </w:rPr>
      </w:pPr>
      <w:r w:rsidRPr="00043589">
        <w:rPr>
          <w:noProof/>
        </w:rPr>
        <w:t xml:space="preserve">Kosek, J. Smoky the Bear is a White Racist Pig. In </w:t>
      </w:r>
      <w:r w:rsidRPr="00043589">
        <w:rPr>
          <w:i/>
          <w:iCs/>
          <w:noProof/>
        </w:rPr>
        <w:t>Understories: The Political Life of Forests in New Mexico</w:t>
      </w:r>
      <w:r w:rsidR="00F263E4">
        <w:rPr>
          <w:noProof/>
        </w:rPr>
        <w:t>,</w:t>
      </w:r>
      <w:r w:rsidR="00353524">
        <w:rPr>
          <w:noProof/>
        </w:rPr>
        <w:t>e</w:t>
      </w:r>
      <w:r w:rsidR="00F263E4">
        <w:rPr>
          <w:noProof/>
        </w:rPr>
        <w:t xml:space="preserve"> </w:t>
      </w:r>
      <w:r w:rsidRPr="00043589">
        <w:rPr>
          <w:noProof/>
        </w:rPr>
        <w:t>183–228. Durham, NC: Duke University Press.</w:t>
      </w:r>
      <w:r w:rsidR="00F263E4" w:rsidRPr="00F263E4">
        <w:rPr>
          <w:noProof/>
        </w:rPr>
        <w:t xml:space="preserve"> </w:t>
      </w:r>
      <w:r w:rsidR="00F263E4" w:rsidRPr="00043589">
        <w:rPr>
          <w:noProof/>
        </w:rPr>
        <w:t>(2006)</w:t>
      </w:r>
    </w:p>
    <w:p w14:paraId="380E4027" w14:textId="00801F38" w:rsidR="009E78B0" w:rsidRDefault="009E78B0" w:rsidP="009E78B0">
      <w:pPr>
        <w:pStyle w:val="NormalWeb"/>
        <w:spacing w:line="480" w:lineRule="auto"/>
        <w:ind w:left="480" w:hanging="480"/>
      </w:pPr>
      <w:r w:rsidRPr="00043589">
        <w:t>Kuhnlein</w:t>
      </w:r>
      <w:r>
        <w:t>, H.</w:t>
      </w:r>
      <w:r w:rsidRPr="00043589">
        <w:t xml:space="preserve"> and Receveur,</w:t>
      </w:r>
      <w:r>
        <w:t xml:space="preserve">O. </w:t>
      </w:r>
      <w:r w:rsidRPr="00043589">
        <w:t xml:space="preserve">“Dietary </w:t>
      </w:r>
      <w:r>
        <w:t>C</w:t>
      </w:r>
      <w:r w:rsidRPr="00043589">
        <w:t xml:space="preserve">hange and </w:t>
      </w:r>
      <w:r>
        <w:t>T</w:t>
      </w:r>
      <w:r w:rsidRPr="00043589">
        <w:t xml:space="preserve">raditional </w:t>
      </w:r>
      <w:r>
        <w:t>F</w:t>
      </w:r>
      <w:r w:rsidRPr="00043589">
        <w:t xml:space="preserve">ood </w:t>
      </w:r>
      <w:r>
        <w:t>S</w:t>
      </w:r>
      <w:r w:rsidRPr="00043589">
        <w:t xml:space="preserve">ystems of </w:t>
      </w:r>
      <w:r>
        <w:t>I</w:t>
      </w:r>
      <w:r w:rsidRPr="00043589">
        <w:t xml:space="preserve">ndigenous </w:t>
      </w:r>
      <w:r>
        <w:t>P</w:t>
      </w:r>
      <w:r w:rsidRPr="00043589">
        <w:t xml:space="preserve">eoples.” Annual Revue Nutrition. 16, </w:t>
      </w:r>
      <w:r>
        <w:t>(</w:t>
      </w:r>
      <w:r w:rsidRPr="00043589">
        <w:t>1996</w:t>
      </w:r>
      <w:r>
        <w:t>):</w:t>
      </w:r>
      <w:r w:rsidRPr="00043589">
        <w:t xml:space="preserve">417-42. Retrieved from: </w:t>
      </w:r>
      <w:hyperlink r:id="rId21" w:history="1">
        <w:r w:rsidRPr="00043589">
          <w:rPr>
            <w:rStyle w:val="Hyperlink"/>
          </w:rPr>
          <w:t>https://www.annualreviews.org/doi/pdf/10.1146/annurev.nu.16.070196.002221</w:t>
        </w:r>
      </w:hyperlink>
    </w:p>
    <w:p w14:paraId="6AE3F062" w14:textId="1E09EDD0" w:rsidR="009E78B0" w:rsidRPr="00043589" w:rsidRDefault="009E78B0" w:rsidP="009E78B0">
      <w:pPr>
        <w:pStyle w:val="NormalWeb"/>
        <w:spacing w:line="480" w:lineRule="auto"/>
        <w:ind w:left="480" w:hanging="480"/>
      </w:pPr>
      <w:r>
        <w:t xml:space="preserve">Lake, </w:t>
      </w:r>
      <w:r w:rsidRPr="00043589">
        <w:t xml:space="preserve">Frank K., </w:t>
      </w:r>
      <w:r>
        <w:t>Wright, Vita</w:t>
      </w:r>
      <w:r w:rsidRPr="00043589">
        <w:t xml:space="preserve">, </w:t>
      </w:r>
      <w:r>
        <w:t>Morgan, Penelope</w:t>
      </w:r>
      <w:r w:rsidRPr="00043589">
        <w:t>, Mary McFadzen, Dave McWethy, Camille Stevens-Rumann, “Returning Fire to the Land: Celebrating Traditional Knowledge and Fire, </w:t>
      </w:r>
      <w:r w:rsidRPr="00043589">
        <w:rPr>
          <w:i/>
          <w:iCs/>
        </w:rPr>
        <w:t>Journal of Forestry</w:t>
      </w:r>
      <w:r w:rsidRPr="00043589">
        <w:t>, 115</w:t>
      </w:r>
      <w:r>
        <w:t>(</w:t>
      </w:r>
      <w:r w:rsidRPr="00043589">
        <w:t>5</w:t>
      </w:r>
      <w:r>
        <w:t>)</w:t>
      </w:r>
      <w:r w:rsidRPr="00043589">
        <w:t xml:space="preserve">, </w:t>
      </w:r>
      <w:r>
        <w:t>(</w:t>
      </w:r>
      <w:r w:rsidRPr="00043589">
        <w:t>2017</w:t>
      </w:r>
      <w:r>
        <w:t>):</w:t>
      </w:r>
      <w:r w:rsidRPr="00043589">
        <w:t xml:space="preserve"> 343–353, </w:t>
      </w:r>
      <w:hyperlink r:id="rId22" w:history="1">
        <w:r w:rsidRPr="00043589">
          <w:rPr>
            <w:rStyle w:val="Hyperlink"/>
          </w:rPr>
          <w:t>https://doi.org/10.5849/jof.2016-043R2</w:t>
        </w:r>
      </w:hyperlink>
    </w:p>
    <w:p w14:paraId="598584E2" w14:textId="404659DD" w:rsidR="00493DFE" w:rsidRPr="00043589" w:rsidRDefault="00493DFE" w:rsidP="009D7EF0">
      <w:pPr>
        <w:widowControl w:val="0"/>
        <w:autoSpaceDE w:val="0"/>
        <w:autoSpaceDN w:val="0"/>
        <w:adjustRightInd w:val="0"/>
        <w:spacing w:before="100" w:after="100" w:line="480" w:lineRule="auto"/>
        <w:ind w:left="480" w:hanging="480"/>
        <w:rPr>
          <w:noProof/>
        </w:rPr>
      </w:pPr>
      <w:r w:rsidRPr="00043589">
        <w:rPr>
          <w:noProof/>
        </w:rPr>
        <w:t xml:space="preserve">Lesure, Richard G. “The Construction of Inequality in Yurok Society.” </w:t>
      </w:r>
      <w:r w:rsidRPr="00043589">
        <w:rPr>
          <w:i/>
          <w:iCs/>
          <w:noProof/>
        </w:rPr>
        <w:t>Journal of California and Great Basin Anthropology</w:t>
      </w:r>
      <w:r w:rsidRPr="00043589">
        <w:rPr>
          <w:noProof/>
        </w:rPr>
        <w:t xml:space="preserve">, </w:t>
      </w:r>
      <w:r w:rsidR="00F263E4">
        <w:rPr>
          <w:noProof/>
        </w:rPr>
        <w:t>20(2)</w:t>
      </w:r>
      <w:r w:rsidRPr="00043589">
        <w:rPr>
          <w:noProof/>
        </w:rPr>
        <w:t xml:space="preserve">, </w:t>
      </w:r>
      <w:r w:rsidR="00F263E4">
        <w:rPr>
          <w:noProof/>
        </w:rPr>
        <w:t>(</w:t>
      </w:r>
      <w:r w:rsidRPr="00043589">
        <w:rPr>
          <w:noProof/>
        </w:rPr>
        <w:t>1998</w:t>
      </w:r>
      <w:r w:rsidR="00F263E4">
        <w:rPr>
          <w:noProof/>
        </w:rPr>
        <w:t>):</w:t>
      </w:r>
      <w:r w:rsidRPr="00043589">
        <w:rPr>
          <w:noProof/>
        </w:rPr>
        <w:t>171–94.</w:t>
      </w:r>
    </w:p>
    <w:p w14:paraId="1E8F9A90" w14:textId="72B42CFE" w:rsidR="00493DFE" w:rsidRDefault="00493DFE" w:rsidP="009D7EF0">
      <w:pPr>
        <w:widowControl w:val="0"/>
        <w:autoSpaceDE w:val="0"/>
        <w:autoSpaceDN w:val="0"/>
        <w:adjustRightInd w:val="0"/>
        <w:spacing w:after="120" w:line="480" w:lineRule="auto"/>
        <w:ind w:left="480" w:hanging="480"/>
        <w:rPr>
          <w:noProof/>
        </w:rPr>
      </w:pPr>
      <w:r w:rsidRPr="00043589">
        <w:rPr>
          <w:noProof/>
        </w:rPr>
        <w:t xml:space="preserve">Lightfoot, K. G., &amp; Parrish, O. </w:t>
      </w:r>
      <w:r w:rsidRPr="00043589">
        <w:rPr>
          <w:i/>
          <w:iCs/>
          <w:noProof/>
        </w:rPr>
        <w:t>California Indians and their Environment</w:t>
      </w:r>
      <w:r w:rsidRPr="00043589">
        <w:rPr>
          <w:noProof/>
        </w:rPr>
        <w:t>. Berkeley: University of California Press.</w:t>
      </w:r>
      <w:r w:rsidR="00F263E4" w:rsidRPr="00F263E4">
        <w:rPr>
          <w:noProof/>
        </w:rPr>
        <w:t xml:space="preserve"> </w:t>
      </w:r>
      <w:r w:rsidR="00F263E4" w:rsidRPr="00043589">
        <w:rPr>
          <w:noProof/>
        </w:rPr>
        <w:t>2009</w:t>
      </w:r>
      <w:r w:rsidR="00F263E4">
        <w:rPr>
          <w:noProof/>
        </w:rPr>
        <w:t>. Print.</w:t>
      </w:r>
    </w:p>
    <w:p w14:paraId="052EF208" w14:textId="68D7FB30" w:rsidR="009E78B0" w:rsidRDefault="009E78B0" w:rsidP="009E78B0">
      <w:pPr>
        <w:pStyle w:val="NormalWeb"/>
        <w:spacing w:line="480" w:lineRule="auto"/>
        <w:ind w:left="480" w:hanging="480"/>
      </w:pPr>
      <w:r w:rsidRPr="00043589">
        <w:t>Mistry</w:t>
      </w:r>
      <w:r>
        <w:t>,J.</w:t>
      </w:r>
      <w:r w:rsidRPr="00043589">
        <w:t>, Bilbao</w:t>
      </w:r>
      <w:r>
        <w:t>,</w:t>
      </w:r>
      <w:r w:rsidRPr="00043589">
        <w:t xml:space="preserve"> </w:t>
      </w:r>
      <w:r>
        <w:t xml:space="preserve">B.A., </w:t>
      </w:r>
      <w:r w:rsidRPr="00043589">
        <w:t>and Berardi</w:t>
      </w:r>
      <w:r>
        <w:t>, A.</w:t>
      </w:r>
      <w:r w:rsidRPr="00043589">
        <w:t xml:space="preserve"> </w:t>
      </w:r>
      <w:r>
        <w:t>“</w:t>
      </w:r>
      <w:r w:rsidRPr="00043589">
        <w:t>Community owned solutions for fire management in tropical ecosystems: case studies</w:t>
      </w:r>
      <w:r>
        <w:t>.”</w:t>
      </w:r>
      <w:r w:rsidRPr="00043589">
        <w:t xml:space="preserve"> </w:t>
      </w:r>
      <w:r w:rsidRPr="00784D16">
        <w:rPr>
          <w:i/>
          <w:iCs/>
        </w:rPr>
        <w:t>Indigenous communities of South AmericaPhil</w:t>
      </w:r>
      <w:r w:rsidRPr="00043589">
        <w:t>. Trans. R. Soc. B37120150174</w:t>
      </w:r>
    </w:p>
    <w:p w14:paraId="40CC5A80" w14:textId="18E60EE8" w:rsidR="009E78B0" w:rsidRPr="00043589" w:rsidRDefault="009E78B0" w:rsidP="009E78B0">
      <w:pPr>
        <w:pStyle w:val="NormalWeb"/>
        <w:spacing w:line="480" w:lineRule="auto"/>
        <w:ind w:left="480" w:hanging="480"/>
      </w:pPr>
      <w:r w:rsidRPr="0094492E">
        <w:t xml:space="preserve">Mistry, Jayalaxshmi, et al. “New Perspectives in Fire Management in South American Savannas: The Importance of Intercultural Governance.” </w:t>
      </w:r>
      <w:r w:rsidRPr="0094492E">
        <w:rPr>
          <w:i/>
          <w:iCs/>
        </w:rPr>
        <w:t>Ambio</w:t>
      </w:r>
      <w:r w:rsidRPr="0094492E">
        <w:t xml:space="preserve">, </w:t>
      </w:r>
      <w:r>
        <w:t>48(2)</w:t>
      </w:r>
      <w:r w:rsidRPr="0094492E">
        <w:t xml:space="preserve">, Springer Netherlands, </w:t>
      </w:r>
      <w:r>
        <w:t>(</w:t>
      </w:r>
      <w:r w:rsidRPr="0094492E">
        <w:t>2019</w:t>
      </w:r>
      <w:r>
        <w:t>):</w:t>
      </w:r>
      <w:r w:rsidRPr="0094492E">
        <w:t>172–79, doi:10.1007/s13280-018-1054-7.</w:t>
      </w:r>
    </w:p>
    <w:p w14:paraId="172C8869" w14:textId="1754E392" w:rsidR="00493DFE" w:rsidRPr="00043589" w:rsidRDefault="00493DFE" w:rsidP="009D7EF0">
      <w:pPr>
        <w:widowControl w:val="0"/>
        <w:autoSpaceDE w:val="0"/>
        <w:autoSpaceDN w:val="0"/>
        <w:adjustRightInd w:val="0"/>
        <w:spacing w:before="100" w:after="100" w:line="480" w:lineRule="auto"/>
        <w:ind w:left="480" w:hanging="480"/>
        <w:rPr>
          <w:noProof/>
        </w:rPr>
      </w:pPr>
      <w:r w:rsidRPr="00043589">
        <w:rPr>
          <w:noProof/>
        </w:rPr>
        <w:lastRenderedPageBreak/>
        <w:t xml:space="preserve">Madley, Benjamin. </w:t>
      </w:r>
      <w:r w:rsidRPr="00043589">
        <w:rPr>
          <w:i/>
          <w:iCs/>
          <w:noProof/>
        </w:rPr>
        <w:t>An American Genocide: The United States and the California Indian Catastrophe, 1846-1873</w:t>
      </w:r>
      <w:r w:rsidRPr="00043589">
        <w:rPr>
          <w:noProof/>
        </w:rPr>
        <w:t>. 1st ed., Yale University Press, 2016.</w:t>
      </w:r>
    </w:p>
    <w:p w14:paraId="06295212" w14:textId="68268B02" w:rsidR="00493DFE" w:rsidRPr="00043589" w:rsidRDefault="00493DFE" w:rsidP="009D7EF0">
      <w:pPr>
        <w:widowControl w:val="0"/>
        <w:autoSpaceDE w:val="0"/>
        <w:autoSpaceDN w:val="0"/>
        <w:adjustRightInd w:val="0"/>
        <w:spacing w:after="120" w:line="480" w:lineRule="auto"/>
        <w:ind w:left="480" w:hanging="480"/>
        <w:rPr>
          <w:noProof/>
        </w:rPr>
      </w:pPr>
      <w:r w:rsidRPr="00043589">
        <w:rPr>
          <w:noProof/>
        </w:rPr>
        <w:t xml:space="preserve">Marks-Block, T., Lake, F. K., &amp; Curran, L. M. </w:t>
      </w:r>
      <w:r w:rsidR="00353524">
        <w:rPr>
          <w:noProof/>
        </w:rPr>
        <w:t>"</w:t>
      </w:r>
      <w:r w:rsidRPr="00043589">
        <w:rPr>
          <w:noProof/>
        </w:rPr>
        <w:t>Effects of understory fire management treatments on California Hazelnut, an ecocultural resource of the Karuk and Yurok Indians in the Pacific Northwest.</w:t>
      </w:r>
      <w:r w:rsidR="00353524">
        <w:rPr>
          <w:noProof/>
        </w:rPr>
        <w:t>"</w:t>
      </w:r>
      <w:r w:rsidRPr="00043589">
        <w:rPr>
          <w:noProof/>
        </w:rPr>
        <w:t xml:space="preserve"> </w:t>
      </w:r>
      <w:r w:rsidRPr="00043589">
        <w:rPr>
          <w:i/>
          <w:iCs/>
          <w:noProof/>
        </w:rPr>
        <w:t>Forest Ecology and Management</w:t>
      </w:r>
      <w:r w:rsidRPr="00043589">
        <w:rPr>
          <w:noProof/>
        </w:rPr>
        <w:t xml:space="preserve">, </w:t>
      </w:r>
      <w:r w:rsidRPr="00043589">
        <w:rPr>
          <w:i/>
          <w:iCs/>
          <w:noProof/>
        </w:rPr>
        <w:t>450</w:t>
      </w:r>
      <w:r w:rsidRPr="00043589">
        <w:rPr>
          <w:noProof/>
        </w:rPr>
        <w:t xml:space="preserve">(August), 117517. </w:t>
      </w:r>
      <w:r w:rsidR="00353524">
        <w:rPr>
          <w:noProof/>
        </w:rPr>
        <w:t xml:space="preserve">(2019) </w:t>
      </w:r>
      <w:r w:rsidRPr="00043589">
        <w:rPr>
          <w:noProof/>
        </w:rPr>
        <w:t>https://doi.org/10.1016/j.foreco.2019.117517</w:t>
      </w:r>
    </w:p>
    <w:p w14:paraId="7A3E2226" w14:textId="6005C043" w:rsidR="00493DFE" w:rsidRPr="00043589" w:rsidRDefault="00493DFE" w:rsidP="009D7EF0">
      <w:pPr>
        <w:widowControl w:val="0"/>
        <w:autoSpaceDE w:val="0"/>
        <w:autoSpaceDN w:val="0"/>
        <w:adjustRightInd w:val="0"/>
        <w:spacing w:after="120" w:line="480" w:lineRule="auto"/>
        <w:ind w:left="480" w:hanging="480"/>
        <w:rPr>
          <w:noProof/>
        </w:rPr>
      </w:pPr>
      <w:r w:rsidRPr="00043589">
        <w:rPr>
          <w:noProof/>
        </w:rPr>
        <w:t xml:space="preserve">Pyne, S. J. </w:t>
      </w:r>
      <w:r w:rsidR="00353524">
        <w:rPr>
          <w:noProof/>
        </w:rPr>
        <w:t>"</w:t>
      </w:r>
      <w:r w:rsidRPr="00043589">
        <w:rPr>
          <w:noProof/>
        </w:rPr>
        <w:t>Paiute Forestry: A History of the Light-Burning Controversy.</w:t>
      </w:r>
      <w:r w:rsidR="00353524">
        <w:rPr>
          <w:noProof/>
        </w:rPr>
        <w:t>"</w:t>
      </w:r>
      <w:r w:rsidRPr="00043589">
        <w:rPr>
          <w:noProof/>
        </w:rPr>
        <w:t xml:space="preserve"> In </w:t>
      </w:r>
      <w:r w:rsidRPr="00043589">
        <w:rPr>
          <w:i/>
          <w:iCs/>
          <w:noProof/>
        </w:rPr>
        <w:t>Fire in America: A Cultural History of Wildland and Rural Fire</w:t>
      </w:r>
      <w:r w:rsidRPr="00043589">
        <w:rPr>
          <w:noProof/>
        </w:rPr>
        <w:t xml:space="preserve"> (Paperback, p. Full). Seattle: University of Washington Press.</w:t>
      </w:r>
      <w:r w:rsidR="00353524" w:rsidRPr="00353524">
        <w:rPr>
          <w:noProof/>
        </w:rPr>
        <w:t xml:space="preserve"> </w:t>
      </w:r>
      <w:r w:rsidR="00353524" w:rsidRPr="00043589">
        <w:rPr>
          <w:noProof/>
        </w:rPr>
        <w:t>1982</w:t>
      </w:r>
      <w:r w:rsidR="00353524">
        <w:rPr>
          <w:noProof/>
        </w:rPr>
        <w:t>. Web.</w:t>
      </w:r>
    </w:p>
    <w:p w14:paraId="3CB1130D" w14:textId="24404E5D" w:rsidR="00493DFE" w:rsidRDefault="00493DFE" w:rsidP="009D7EF0">
      <w:pPr>
        <w:widowControl w:val="0"/>
        <w:autoSpaceDE w:val="0"/>
        <w:autoSpaceDN w:val="0"/>
        <w:adjustRightInd w:val="0"/>
        <w:spacing w:after="120" w:line="480" w:lineRule="auto"/>
        <w:ind w:left="480" w:hanging="480"/>
        <w:rPr>
          <w:noProof/>
        </w:rPr>
      </w:pPr>
      <w:r w:rsidRPr="00043589">
        <w:rPr>
          <w:noProof/>
        </w:rPr>
        <w:t xml:space="preserve">Quinn-Davidson, L. N., &amp; Varner, J. M. </w:t>
      </w:r>
      <w:r w:rsidR="00353524">
        <w:rPr>
          <w:noProof/>
        </w:rPr>
        <w:t>"</w:t>
      </w:r>
      <w:r w:rsidRPr="00043589">
        <w:rPr>
          <w:noProof/>
        </w:rPr>
        <w:t>Impediments to prescribed fire across agency, landscape and manager: An example from northern California.</w:t>
      </w:r>
      <w:r w:rsidR="00353524">
        <w:rPr>
          <w:noProof/>
        </w:rPr>
        <w:t xml:space="preserve">" </w:t>
      </w:r>
      <w:r w:rsidRPr="00043589">
        <w:rPr>
          <w:noProof/>
        </w:rPr>
        <w:t xml:space="preserve"> </w:t>
      </w:r>
      <w:r w:rsidRPr="00043589">
        <w:rPr>
          <w:i/>
          <w:iCs/>
          <w:noProof/>
        </w:rPr>
        <w:t>International Journal of Wildland Fire</w:t>
      </w:r>
      <w:r w:rsidRPr="00043589">
        <w:rPr>
          <w:noProof/>
        </w:rPr>
        <w:t xml:space="preserve">, </w:t>
      </w:r>
      <w:r w:rsidRPr="00043589">
        <w:rPr>
          <w:i/>
          <w:iCs/>
          <w:noProof/>
        </w:rPr>
        <w:t>21</w:t>
      </w:r>
      <w:r w:rsidRPr="00043589">
        <w:rPr>
          <w:noProof/>
        </w:rPr>
        <w:t>(3),</w:t>
      </w:r>
      <w:r w:rsidR="00353524">
        <w:rPr>
          <w:noProof/>
        </w:rPr>
        <w:t xml:space="preserve"> </w:t>
      </w:r>
      <w:r w:rsidR="00353524" w:rsidRPr="00043589">
        <w:rPr>
          <w:noProof/>
        </w:rPr>
        <w:t>(2012)</w:t>
      </w:r>
      <w:r w:rsidR="00353524">
        <w:rPr>
          <w:noProof/>
        </w:rPr>
        <w:t>:</w:t>
      </w:r>
      <w:r w:rsidRPr="00043589">
        <w:rPr>
          <w:noProof/>
        </w:rPr>
        <w:t xml:space="preserve"> 210–218. https://doi.org/10.1071/WF11017</w:t>
      </w:r>
    </w:p>
    <w:p w14:paraId="520B095F" w14:textId="3F98A7F9" w:rsidR="009E78B0" w:rsidRDefault="009E78B0" w:rsidP="009E78B0">
      <w:pPr>
        <w:pStyle w:val="NormalWeb"/>
        <w:spacing w:line="480" w:lineRule="auto"/>
        <w:ind w:left="480" w:hanging="480"/>
      </w:pPr>
      <w:r w:rsidRPr="006956AA">
        <w:t>Reo, Nicholas J. et al. “Factors That Support Indigenous Involvement in Multi-Actor Environmental Stewardship.” </w:t>
      </w:r>
      <w:r w:rsidRPr="006956AA">
        <w:rPr>
          <w:i/>
          <w:iCs/>
        </w:rPr>
        <w:t>AlterNative</w:t>
      </w:r>
      <w:r w:rsidRPr="006956AA">
        <w:t> 13</w:t>
      </w:r>
      <w:r>
        <w:t>(</w:t>
      </w:r>
      <w:r w:rsidRPr="006956AA">
        <w:t>2</w:t>
      </w:r>
      <w:r>
        <w:t>),</w:t>
      </w:r>
      <w:r w:rsidRPr="006956AA">
        <w:t xml:space="preserve"> (2017): 58–68. </w:t>
      </w:r>
      <w:r w:rsidRPr="006956AA">
        <w:rPr>
          <w:i/>
          <w:iCs/>
        </w:rPr>
        <w:t>AlterNative</w:t>
      </w:r>
      <w:r w:rsidRPr="006956AA">
        <w:t>. Web.</w:t>
      </w:r>
    </w:p>
    <w:p w14:paraId="1D10874E" w14:textId="1E2380CC" w:rsidR="009E78B0" w:rsidRPr="00043589" w:rsidRDefault="009E78B0" w:rsidP="009D7EF0">
      <w:pPr>
        <w:widowControl w:val="0"/>
        <w:autoSpaceDE w:val="0"/>
        <w:autoSpaceDN w:val="0"/>
        <w:adjustRightInd w:val="0"/>
        <w:spacing w:after="120" w:line="480" w:lineRule="auto"/>
        <w:ind w:left="480" w:hanging="480"/>
        <w:rPr>
          <w:noProof/>
        </w:rPr>
      </w:pPr>
      <w:r w:rsidRPr="0056172E">
        <w:t xml:space="preserve">Ryan, Kevin C., et al. “Prescribed Fire in North American Forests and Woodlands: History, Current Practice, and Challenges.” Frontiers in Ecology and the Environment, </w:t>
      </w:r>
      <w:r>
        <w:t>11(1)</w:t>
      </w:r>
      <w:r w:rsidRPr="0056172E">
        <w:t xml:space="preserve">, </w:t>
      </w:r>
      <w:r>
        <w:t>(</w:t>
      </w:r>
      <w:r w:rsidRPr="0056172E">
        <w:t>2013</w:t>
      </w:r>
      <w:r>
        <w:t>).</w:t>
      </w:r>
      <w:r w:rsidRPr="0056172E">
        <w:t xml:space="preserve"> doi:10.1890/120329.</w:t>
      </w:r>
    </w:p>
    <w:p w14:paraId="7034AE50" w14:textId="288A1AC9" w:rsidR="00493DFE" w:rsidRDefault="00493DFE" w:rsidP="009D7EF0">
      <w:pPr>
        <w:widowControl w:val="0"/>
        <w:autoSpaceDE w:val="0"/>
        <w:autoSpaceDN w:val="0"/>
        <w:adjustRightInd w:val="0"/>
        <w:spacing w:after="120" w:line="480" w:lineRule="auto"/>
        <w:ind w:left="480" w:hanging="480"/>
        <w:rPr>
          <w:noProof/>
        </w:rPr>
      </w:pPr>
      <w:r w:rsidRPr="00043589">
        <w:rPr>
          <w:noProof/>
        </w:rPr>
        <w:t xml:space="preserve">Stewart, O. C. </w:t>
      </w:r>
      <w:r w:rsidRPr="00043589">
        <w:rPr>
          <w:i/>
          <w:iCs/>
          <w:noProof/>
        </w:rPr>
        <w:t>Forgotten Fires: Native Americans and the Transient Wilderness</w:t>
      </w:r>
      <w:r w:rsidRPr="00043589">
        <w:rPr>
          <w:noProof/>
        </w:rPr>
        <w:t xml:space="preserve"> (H. T. Lewis &amp; M. K. Anderson, eds.). Norman, OK: University of Oklahoma Press.</w:t>
      </w:r>
      <w:r w:rsidR="00353524" w:rsidRPr="00353524">
        <w:rPr>
          <w:noProof/>
        </w:rPr>
        <w:t xml:space="preserve"> </w:t>
      </w:r>
      <w:r w:rsidR="00353524" w:rsidRPr="00043589">
        <w:rPr>
          <w:noProof/>
        </w:rPr>
        <w:t>(2002).</w:t>
      </w:r>
    </w:p>
    <w:p w14:paraId="5532622A" w14:textId="018AE44C" w:rsidR="009E78B0" w:rsidRPr="00043589" w:rsidRDefault="009E78B0" w:rsidP="009E78B0">
      <w:pPr>
        <w:pStyle w:val="NormalWeb"/>
        <w:spacing w:line="480" w:lineRule="auto"/>
        <w:ind w:left="480" w:hanging="480"/>
      </w:pPr>
      <w:r w:rsidRPr="00043589">
        <w:t xml:space="preserve">Thompson, L., </w:t>
      </w:r>
      <w:r w:rsidRPr="00784D16">
        <w:rPr>
          <w:i/>
          <w:iCs/>
        </w:rPr>
        <w:t>To the American Indian: Reminiscences of a Yurok Woman</w:t>
      </w:r>
      <w:r w:rsidRPr="00043589">
        <w:t>. Heyday Press, Berkeley, California.</w:t>
      </w:r>
      <w:r w:rsidRPr="00784D16">
        <w:t xml:space="preserve"> </w:t>
      </w:r>
      <w:r w:rsidRPr="00043589">
        <w:t>1991.</w:t>
      </w:r>
    </w:p>
    <w:p w14:paraId="3010360A" w14:textId="0F78ED9C" w:rsidR="00493DFE" w:rsidRPr="00043589" w:rsidRDefault="00493DFE" w:rsidP="009D7EF0">
      <w:pPr>
        <w:widowControl w:val="0"/>
        <w:autoSpaceDE w:val="0"/>
        <w:autoSpaceDN w:val="0"/>
        <w:adjustRightInd w:val="0"/>
        <w:spacing w:after="120" w:line="480" w:lineRule="auto"/>
        <w:ind w:left="480" w:hanging="480"/>
        <w:rPr>
          <w:noProof/>
        </w:rPr>
      </w:pPr>
      <w:r w:rsidRPr="00043589">
        <w:rPr>
          <w:noProof/>
        </w:rPr>
        <w:lastRenderedPageBreak/>
        <w:t xml:space="preserve">Toledo, V. M., Ortiz-Espejel, B., Cortés, L., Moguel, P., &amp; Ordoñez, M. de J. </w:t>
      </w:r>
      <w:r w:rsidR="00353524">
        <w:rPr>
          <w:noProof/>
        </w:rPr>
        <w:t>"</w:t>
      </w:r>
      <w:r w:rsidRPr="00043589">
        <w:rPr>
          <w:noProof/>
        </w:rPr>
        <w:t>The multiple use of tropical forests by indigenous peoples in Mexico: A case of adaptive management.</w:t>
      </w:r>
      <w:r w:rsidR="00353524">
        <w:rPr>
          <w:noProof/>
        </w:rPr>
        <w:t>"</w:t>
      </w:r>
      <w:r w:rsidRPr="00043589">
        <w:rPr>
          <w:noProof/>
        </w:rPr>
        <w:t xml:space="preserve"> </w:t>
      </w:r>
      <w:r w:rsidRPr="00043589">
        <w:rPr>
          <w:i/>
          <w:iCs/>
          <w:noProof/>
        </w:rPr>
        <w:t>Ecology and Society</w:t>
      </w:r>
      <w:r w:rsidRPr="00043589">
        <w:rPr>
          <w:noProof/>
        </w:rPr>
        <w:t xml:space="preserve">, </w:t>
      </w:r>
      <w:r w:rsidRPr="00043589">
        <w:rPr>
          <w:i/>
          <w:iCs/>
          <w:noProof/>
        </w:rPr>
        <w:t>7</w:t>
      </w:r>
      <w:r w:rsidRPr="00043589">
        <w:rPr>
          <w:noProof/>
        </w:rPr>
        <w:t>(3).</w:t>
      </w:r>
      <w:r w:rsidR="00353524">
        <w:rPr>
          <w:noProof/>
        </w:rPr>
        <w:t xml:space="preserve"> (2003)</w:t>
      </w:r>
      <w:r w:rsidRPr="00043589">
        <w:rPr>
          <w:noProof/>
        </w:rPr>
        <w:t xml:space="preserve"> https://doi.org/10.5751/es-00524-070309</w:t>
      </w:r>
    </w:p>
    <w:p w14:paraId="78F5E496" w14:textId="31CEC40A" w:rsidR="00493DFE" w:rsidRDefault="00493DFE" w:rsidP="009D7EF0">
      <w:pPr>
        <w:widowControl w:val="0"/>
        <w:autoSpaceDE w:val="0"/>
        <w:autoSpaceDN w:val="0"/>
        <w:adjustRightInd w:val="0"/>
        <w:spacing w:after="120" w:line="480" w:lineRule="auto"/>
        <w:ind w:left="480" w:hanging="480"/>
        <w:rPr>
          <w:noProof/>
        </w:rPr>
      </w:pPr>
      <w:r w:rsidRPr="00043589">
        <w:rPr>
          <w:noProof/>
        </w:rPr>
        <w:t xml:space="preserve">United States Senate. </w:t>
      </w:r>
      <w:r w:rsidRPr="00043589">
        <w:rPr>
          <w:i/>
          <w:iCs/>
          <w:noProof/>
        </w:rPr>
        <w:t>Indian Self-Determination and Education Assistance Act of 1975</w:t>
      </w:r>
      <w:r w:rsidRPr="00043589">
        <w:rPr>
          <w:noProof/>
        </w:rPr>
        <w:t>. , Pub. L. No. 2203, 25 U.S.C ch. 14 (1975).</w:t>
      </w:r>
    </w:p>
    <w:p w14:paraId="644376FE" w14:textId="1E13DEAE" w:rsidR="009E78B0" w:rsidRPr="00043589" w:rsidRDefault="009E78B0" w:rsidP="009E78B0">
      <w:pPr>
        <w:pStyle w:val="NormalWeb"/>
        <w:spacing w:line="480" w:lineRule="auto"/>
        <w:ind w:left="480" w:hanging="480"/>
      </w:pPr>
      <w:r w:rsidRPr="00043589">
        <w:t xml:space="preserve">van Wagtendonk, J.W. </w:t>
      </w:r>
      <w:r>
        <w:t>“</w:t>
      </w:r>
      <w:r w:rsidRPr="00043589">
        <w:t>The History and Evolution of Wildland Fire Use.</w:t>
      </w:r>
      <w:r>
        <w:t>”</w:t>
      </w:r>
      <w:r w:rsidRPr="00043589">
        <w:t> </w:t>
      </w:r>
      <w:r w:rsidRPr="00043589">
        <w:rPr>
          <w:i/>
          <w:iCs/>
        </w:rPr>
        <w:t>fire ecol</w:t>
      </w:r>
      <w:r w:rsidRPr="00043589">
        <w:t> </w:t>
      </w:r>
      <w:r w:rsidRPr="00043589">
        <w:rPr>
          <w:b/>
          <w:bCs/>
        </w:rPr>
        <w:t>3, </w:t>
      </w:r>
      <w:r w:rsidRPr="00043589">
        <w:t xml:space="preserve">3–17 (2007). </w:t>
      </w:r>
      <w:hyperlink r:id="rId23" w:history="1">
        <w:r w:rsidRPr="00043589">
          <w:rPr>
            <w:rStyle w:val="Hyperlink"/>
          </w:rPr>
          <w:t>https://doi.org/10.4996/fireecology.0302003</w:t>
        </w:r>
      </w:hyperlink>
    </w:p>
    <w:p w14:paraId="0C4F4F39" w14:textId="6464DDF6" w:rsidR="00493DFE" w:rsidRPr="00043589" w:rsidRDefault="00493DFE" w:rsidP="009D7EF0">
      <w:pPr>
        <w:widowControl w:val="0"/>
        <w:autoSpaceDE w:val="0"/>
        <w:autoSpaceDN w:val="0"/>
        <w:adjustRightInd w:val="0"/>
        <w:spacing w:after="120" w:line="480" w:lineRule="auto"/>
        <w:ind w:left="480" w:hanging="480"/>
        <w:rPr>
          <w:noProof/>
        </w:rPr>
      </w:pPr>
      <w:r w:rsidRPr="00043589">
        <w:rPr>
          <w:noProof/>
        </w:rPr>
        <w:t xml:space="preserve">Wagner, J. M. </w:t>
      </w:r>
      <w:r w:rsidR="00353524">
        <w:rPr>
          <w:noProof/>
        </w:rPr>
        <w:t>"I</w:t>
      </w:r>
      <w:r w:rsidR="00353524" w:rsidRPr="00043589">
        <w:rPr>
          <w:noProof/>
        </w:rPr>
        <w:t xml:space="preserve">mproving </w:t>
      </w:r>
      <w:r w:rsidR="00353524">
        <w:rPr>
          <w:noProof/>
        </w:rPr>
        <w:t>N</w:t>
      </w:r>
      <w:r w:rsidR="00353524" w:rsidRPr="00043589">
        <w:rPr>
          <w:noProof/>
        </w:rPr>
        <w:t xml:space="preserve">ative </w:t>
      </w:r>
      <w:r w:rsidR="00353524">
        <w:rPr>
          <w:noProof/>
        </w:rPr>
        <w:t>A</w:t>
      </w:r>
      <w:r w:rsidR="00353524" w:rsidRPr="00043589">
        <w:rPr>
          <w:noProof/>
        </w:rPr>
        <w:t xml:space="preserve">merican </w:t>
      </w:r>
      <w:r w:rsidR="00353524">
        <w:rPr>
          <w:noProof/>
        </w:rPr>
        <w:t>A</w:t>
      </w:r>
      <w:r w:rsidR="00353524" w:rsidRPr="00043589">
        <w:rPr>
          <w:noProof/>
        </w:rPr>
        <w:t xml:space="preserve">ccess to </w:t>
      </w:r>
      <w:r w:rsidR="00353524">
        <w:rPr>
          <w:noProof/>
        </w:rPr>
        <w:t>F</w:t>
      </w:r>
      <w:r w:rsidR="00353524" w:rsidRPr="00043589">
        <w:rPr>
          <w:noProof/>
        </w:rPr>
        <w:t xml:space="preserve">ederal </w:t>
      </w:r>
      <w:r w:rsidR="00353524">
        <w:rPr>
          <w:noProof/>
        </w:rPr>
        <w:t>F</w:t>
      </w:r>
      <w:r w:rsidR="00353524" w:rsidRPr="00043589">
        <w:rPr>
          <w:noProof/>
        </w:rPr>
        <w:t xml:space="preserve">unding for </w:t>
      </w:r>
      <w:r w:rsidR="00353524">
        <w:rPr>
          <w:noProof/>
        </w:rPr>
        <w:t>E</w:t>
      </w:r>
      <w:r w:rsidR="00353524" w:rsidRPr="00043589">
        <w:rPr>
          <w:noProof/>
        </w:rPr>
        <w:t xml:space="preserve">conomic </w:t>
      </w:r>
      <w:r w:rsidR="00353524">
        <w:rPr>
          <w:noProof/>
        </w:rPr>
        <w:t>D</w:t>
      </w:r>
      <w:r w:rsidR="00353524" w:rsidRPr="00043589">
        <w:rPr>
          <w:noProof/>
        </w:rPr>
        <w:t xml:space="preserve">evelopment through </w:t>
      </w:r>
      <w:r w:rsidR="00353524">
        <w:rPr>
          <w:noProof/>
        </w:rPr>
        <w:t>P</w:t>
      </w:r>
      <w:r w:rsidR="00353524" w:rsidRPr="00043589">
        <w:rPr>
          <w:noProof/>
        </w:rPr>
        <w:t xml:space="preserve">artnerships with </w:t>
      </w:r>
      <w:r w:rsidR="00353524">
        <w:rPr>
          <w:noProof/>
        </w:rPr>
        <w:t>R</w:t>
      </w:r>
      <w:r w:rsidR="00353524" w:rsidRPr="00043589">
        <w:rPr>
          <w:noProof/>
        </w:rPr>
        <w:t xml:space="preserve">ural </w:t>
      </w:r>
      <w:r w:rsidR="00353524">
        <w:rPr>
          <w:noProof/>
        </w:rPr>
        <w:t>C</w:t>
      </w:r>
      <w:r w:rsidR="00353524" w:rsidRPr="00043589">
        <w:rPr>
          <w:noProof/>
        </w:rPr>
        <w:t>ommunities</w:t>
      </w:r>
      <w:r w:rsidRPr="00043589">
        <w:rPr>
          <w:noProof/>
        </w:rPr>
        <w:t>.</w:t>
      </w:r>
      <w:r w:rsidR="00353524">
        <w:rPr>
          <w:noProof/>
        </w:rPr>
        <w:t>"</w:t>
      </w:r>
      <w:r w:rsidRPr="00043589">
        <w:rPr>
          <w:noProof/>
        </w:rPr>
        <w:t xml:space="preserve"> </w:t>
      </w:r>
      <w:r w:rsidRPr="00043589">
        <w:rPr>
          <w:i/>
          <w:iCs/>
          <w:noProof/>
        </w:rPr>
        <w:t>American Indian Law Review</w:t>
      </w:r>
      <w:r w:rsidRPr="00043589">
        <w:rPr>
          <w:noProof/>
        </w:rPr>
        <w:t xml:space="preserve">, </w:t>
      </w:r>
      <w:r w:rsidRPr="00043589">
        <w:rPr>
          <w:i/>
          <w:iCs/>
          <w:noProof/>
        </w:rPr>
        <w:t>32</w:t>
      </w:r>
      <w:r w:rsidRPr="00043589">
        <w:rPr>
          <w:noProof/>
        </w:rPr>
        <w:t xml:space="preserve">(2), </w:t>
      </w:r>
      <w:r w:rsidR="00353524" w:rsidRPr="00043589">
        <w:rPr>
          <w:noProof/>
        </w:rPr>
        <w:t>(2008)</w:t>
      </w:r>
      <w:r w:rsidR="00353524">
        <w:rPr>
          <w:noProof/>
        </w:rPr>
        <w:t xml:space="preserve">: </w:t>
      </w:r>
      <w:r w:rsidRPr="00043589">
        <w:rPr>
          <w:noProof/>
        </w:rPr>
        <w:t>525–613.</w:t>
      </w:r>
    </w:p>
    <w:p w14:paraId="599EF394" w14:textId="6A35F98E" w:rsidR="00493DFE" w:rsidRDefault="00493DFE" w:rsidP="009D7EF0">
      <w:pPr>
        <w:widowControl w:val="0"/>
        <w:autoSpaceDE w:val="0"/>
        <w:autoSpaceDN w:val="0"/>
        <w:adjustRightInd w:val="0"/>
        <w:spacing w:after="120" w:line="480" w:lineRule="auto"/>
        <w:ind w:left="480" w:hanging="480"/>
        <w:rPr>
          <w:noProof/>
        </w:rPr>
      </w:pPr>
      <w:r w:rsidRPr="00043589">
        <w:rPr>
          <w:noProof/>
        </w:rPr>
        <w:t xml:space="preserve">Westerling, A. L. R. </w:t>
      </w:r>
      <w:r w:rsidR="00353524">
        <w:rPr>
          <w:noProof/>
        </w:rPr>
        <w:t>"</w:t>
      </w:r>
      <w:r w:rsidRPr="00043589">
        <w:rPr>
          <w:noProof/>
        </w:rPr>
        <w:t>Increasing western US forest wildfire activity: Sensitivity to changes in the timing of spring.</w:t>
      </w:r>
      <w:r w:rsidR="00353524">
        <w:rPr>
          <w:noProof/>
        </w:rPr>
        <w:t>"</w:t>
      </w:r>
      <w:r w:rsidRPr="00043589">
        <w:rPr>
          <w:noProof/>
        </w:rPr>
        <w:t xml:space="preserve"> </w:t>
      </w:r>
      <w:r w:rsidRPr="00043589">
        <w:rPr>
          <w:i/>
          <w:iCs/>
          <w:noProof/>
        </w:rPr>
        <w:t>Philosophical Transactions of the Royal Society B: Biological Sciences</w:t>
      </w:r>
      <w:r w:rsidRPr="00043589">
        <w:rPr>
          <w:noProof/>
        </w:rPr>
        <w:t xml:space="preserve">, </w:t>
      </w:r>
      <w:r w:rsidRPr="00043589">
        <w:rPr>
          <w:i/>
          <w:iCs/>
          <w:noProof/>
        </w:rPr>
        <w:t>371</w:t>
      </w:r>
      <w:r w:rsidRPr="00043589">
        <w:rPr>
          <w:noProof/>
        </w:rPr>
        <w:t>(1696).</w:t>
      </w:r>
      <w:r w:rsidR="00353524" w:rsidRPr="00353524">
        <w:rPr>
          <w:noProof/>
        </w:rPr>
        <w:t xml:space="preserve"> </w:t>
      </w:r>
      <w:r w:rsidR="00353524" w:rsidRPr="00043589">
        <w:rPr>
          <w:noProof/>
        </w:rPr>
        <w:t>(2016).</w:t>
      </w:r>
      <w:r w:rsidRPr="00043589">
        <w:rPr>
          <w:noProof/>
        </w:rPr>
        <w:t xml:space="preserve"> https://doi.org/10.1098/rstb.2015.0178</w:t>
      </w:r>
    </w:p>
    <w:p w14:paraId="10DBE3C5" w14:textId="631E9421" w:rsidR="00F61BDA" w:rsidRPr="00043589" w:rsidRDefault="009E78B0" w:rsidP="009E78B0">
      <w:pPr>
        <w:pStyle w:val="NormalWeb"/>
        <w:spacing w:line="480" w:lineRule="auto"/>
        <w:ind w:left="480" w:hanging="480"/>
      </w:pPr>
      <w:r w:rsidRPr="0094492E">
        <w:t>Yurok Tribe (2012). Yurok Indian Sustained Yield Lands Forest Management Plan [WWW Document].</w:t>
      </w:r>
      <w:r>
        <w:t xml:space="preserve"> </w:t>
      </w:r>
      <w:r w:rsidRPr="0094492E">
        <w:t xml:space="preserve">URL </w:t>
      </w:r>
      <w:hyperlink r:id="rId24" w:history="1">
        <w:r w:rsidRPr="0094492E">
          <w:rPr>
            <w:rStyle w:val="Hyperlink"/>
          </w:rPr>
          <w:t>http://www.yuroktribe.org/departments/forestry/Documents/FMP2012DraftRev3.14.pdf</w:t>
        </w:r>
      </w:hyperlink>
      <w:r w:rsidR="00493DFE" w:rsidRPr="00043589">
        <w:fldChar w:fldCharType="end"/>
      </w:r>
    </w:p>
    <w:p w14:paraId="2D0F3C38" w14:textId="57E01332" w:rsidR="00064D68" w:rsidRPr="00043589" w:rsidRDefault="00064D68" w:rsidP="00064D68">
      <w:pPr>
        <w:pStyle w:val="NormalWeb"/>
        <w:spacing w:line="480" w:lineRule="auto"/>
        <w:ind w:left="480" w:hanging="480"/>
      </w:pPr>
      <w:r w:rsidRPr="00043589">
        <w:t>Zobe</w:t>
      </w:r>
      <w:r w:rsidR="00B56CC4" w:rsidRPr="00043589">
        <w:t>l</w:t>
      </w:r>
      <w:r w:rsidRPr="00043589">
        <w:t xml:space="preserve"> , D.B., </w:t>
      </w:r>
      <w:r w:rsidR="00784D16">
        <w:t>“</w:t>
      </w:r>
      <w:r w:rsidRPr="00043589">
        <w:t>Ecosystem use by indigenous peop</w:t>
      </w:r>
      <w:r w:rsidR="00B56CC4" w:rsidRPr="00043589">
        <w:t>l</w:t>
      </w:r>
      <w:r w:rsidRPr="00043589">
        <w:t>e in an Oregon coasta</w:t>
      </w:r>
      <w:r w:rsidR="00B56CC4" w:rsidRPr="00043589">
        <w:t>l</w:t>
      </w:r>
      <w:r w:rsidRPr="00043589">
        <w:t xml:space="preserve"> </w:t>
      </w:r>
      <w:r w:rsidR="00B56CC4" w:rsidRPr="00043589">
        <w:t>l</w:t>
      </w:r>
      <w:r w:rsidRPr="00043589">
        <w:t>andscape.</w:t>
      </w:r>
      <w:r w:rsidR="00784D16">
        <w:t>”</w:t>
      </w:r>
      <w:r w:rsidRPr="00043589">
        <w:t xml:space="preserve"> Northwest Sci. 76,</w:t>
      </w:r>
      <w:r w:rsidR="00784D16" w:rsidRPr="00784D16">
        <w:t xml:space="preserve"> </w:t>
      </w:r>
      <w:r w:rsidR="00784D16">
        <w:t>(</w:t>
      </w:r>
      <w:r w:rsidR="00784D16" w:rsidRPr="00043589">
        <w:t>2002</w:t>
      </w:r>
      <w:r w:rsidR="00784D16">
        <w:t>):</w:t>
      </w:r>
      <w:r w:rsidRPr="00043589">
        <w:t xml:space="preserve"> 304–314.</w:t>
      </w:r>
      <w:r w:rsidR="00B56CC4" w:rsidRPr="00043589">
        <w:t xml:space="preserve"> Retrieved from: </w:t>
      </w:r>
      <w:hyperlink r:id="rId25" w:history="1">
        <w:r w:rsidR="00B56CC4" w:rsidRPr="00043589">
          <w:rPr>
            <w:rStyle w:val="Hyperlink"/>
          </w:rPr>
          <w:t>https://research.libraries.wsu.edu/xmlui/handle/2376/921?show=full</w:t>
        </w:r>
      </w:hyperlink>
    </w:p>
    <w:p w14:paraId="6A30C6D4" w14:textId="41B3CD3A" w:rsidR="004E060A" w:rsidRPr="009D7EF0" w:rsidRDefault="004E060A" w:rsidP="004E060A">
      <w:pPr>
        <w:pStyle w:val="NormalWeb"/>
        <w:spacing w:line="480" w:lineRule="auto"/>
      </w:pPr>
    </w:p>
    <w:sectPr w:rsidR="004E060A" w:rsidRPr="009D7EF0" w:rsidSect="000114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B7CFB" w14:textId="77777777" w:rsidR="00103656" w:rsidRDefault="00103656" w:rsidP="00526DAB">
      <w:r>
        <w:separator/>
      </w:r>
    </w:p>
  </w:endnote>
  <w:endnote w:type="continuationSeparator" w:id="0">
    <w:p w14:paraId="35D7BF06" w14:textId="77777777" w:rsidR="00103656" w:rsidRDefault="00103656" w:rsidP="0052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957675"/>
      <w:docPartObj>
        <w:docPartGallery w:val="Page Numbers (Bottom of Page)"/>
        <w:docPartUnique/>
      </w:docPartObj>
    </w:sdtPr>
    <w:sdtContent>
      <w:p w14:paraId="7EBC94C0" w14:textId="50CE2B65" w:rsidR="00F263E4" w:rsidRDefault="00F263E4" w:rsidP="000114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9E53F" w14:textId="77777777" w:rsidR="00F263E4" w:rsidRDefault="00F26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3933941"/>
      <w:docPartObj>
        <w:docPartGallery w:val="Page Numbers (Bottom of Page)"/>
        <w:docPartUnique/>
      </w:docPartObj>
    </w:sdtPr>
    <w:sdtContent>
      <w:p w14:paraId="10DCF3F0" w14:textId="34B152F5" w:rsidR="00F263E4" w:rsidRDefault="00F263E4" w:rsidP="00F263E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3DF3" w14:textId="77777777" w:rsidR="00103656" w:rsidRDefault="00103656" w:rsidP="00526DAB">
      <w:r>
        <w:separator/>
      </w:r>
    </w:p>
  </w:footnote>
  <w:footnote w:type="continuationSeparator" w:id="0">
    <w:p w14:paraId="58AB09B3" w14:textId="77777777" w:rsidR="00103656" w:rsidRDefault="00103656" w:rsidP="00526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8377949"/>
      <w:docPartObj>
        <w:docPartGallery w:val="Page Numbers (Top of Page)"/>
        <w:docPartUnique/>
      </w:docPartObj>
    </w:sdtPr>
    <w:sdtContent>
      <w:p w14:paraId="0EB4A93B" w14:textId="2B9A8719" w:rsidR="00F263E4" w:rsidRDefault="00F263E4" w:rsidP="00644C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7438D3" w14:textId="77777777" w:rsidR="00F263E4" w:rsidRDefault="00F263E4" w:rsidP="00B57A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CE5C"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39E"/>
    <w:multiLevelType w:val="hybridMultilevel"/>
    <w:tmpl w:val="EBE8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C6F6C"/>
    <w:multiLevelType w:val="hybridMultilevel"/>
    <w:tmpl w:val="1B82BF5E"/>
    <w:lvl w:ilvl="0" w:tplc="7626F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2614C1"/>
    <w:multiLevelType w:val="hybridMultilevel"/>
    <w:tmpl w:val="D1E26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BCE1AF9"/>
    <w:multiLevelType w:val="hybridMultilevel"/>
    <w:tmpl w:val="D1EA7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EC0082"/>
    <w:multiLevelType w:val="hybridMultilevel"/>
    <w:tmpl w:val="3E7A1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093177">
    <w:abstractNumId w:val="3"/>
  </w:num>
  <w:num w:numId="2" w16cid:durableId="1413118170">
    <w:abstractNumId w:val="2"/>
  </w:num>
  <w:num w:numId="3" w16cid:durableId="954097487">
    <w:abstractNumId w:val="4"/>
  </w:num>
  <w:num w:numId="4" w16cid:durableId="515771871">
    <w:abstractNumId w:val="0"/>
  </w:num>
  <w:num w:numId="5" w16cid:durableId="353072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74"/>
    <w:rsid w:val="00011415"/>
    <w:rsid w:val="00014D4E"/>
    <w:rsid w:val="00032F57"/>
    <w:rsid w:val="000341FF"/>
    <w:rsid w:val="00034EF4"/>
    <w:rsid w:val="00043589"/>
    <w:rsid w:val="00053B6E"/>
    <w:rsid w:val="00064D68"/>
    <w:rsid w:val="00070451"/>
    <w:rsid w:val="00091F68"/>
    <w:rsid w:val="000E22BF"/>
    <w:rsid w:val="000F0FC6"/>
    <w:rsid w:val="000F3F75"/>
    <w:rsid w:val="00103656"/>
    <w:rsid w:val="00112AAA"/>
    <w:rsid w:val="001314BB"/>
    <w:rsid w:val="00132AA4"/>
    <w:rsid w:val="00140DE3"/>
    <w:rsid w:val="00164537"/>
    <w:rsid w:val="0019721F"/>
    <w:rsid w:val="001D4C3C"/>
    <w:rsid w:val="001F28C9"/>
    <w:rsid w:val="00230DEC"/>
    <w:rsid w:val="00240EF0"/>
    <w:rsid w:val="00252292"/>
    <w:rsid w:val="00256452"/>
    <w:rsid w:val="00277774"/>
    <w:rsid w:val="00297C92"/>
    <w:rsid w:val="002B5716"/>
    <w:rsid w:val="002D351A"/>
    <w:rsid w:val="002E18C1"/>
    <w:rsid w:val="002E3546"/>
    <w:rsid w:val="00306F74"/>
    <w:rsid w:val="0031460A"/>
    <w:rsid w:val="00353524"/>
    <w:rsid w:val="0035423A"/>
    <w:rsid w:val="00365BE1"/>
    <w:rsid w:val="003719A8"/>
    <w:rsid w:val="00382252"/>
    <w:rsid w:val="00385474"/>
    <w:rsid w:val="00386FAB"/>
    <w:rsid w:val="0039766E"/>
    <w:rsid w:val="003A7EDF"/>
    <w:rsid w:val="003B03F9"/>
    <w:rsid w:val="003B6CB5"/>
    <w:rsid w:val="003D1E27"/>
    <w:rsid w:val="003D4BEA"/>
    <w:rsid w:val="003F7452"/>
    <w:rsid w:val="00410B41"/>
    <w:rsid w:val="0041491A"/>
    <w:rsid w:val="00431D09"/>
    <w:rsid w:val="00445B5A"/>
    <w:rsid w:val="00451684"/>
    <w:rsid w:val="004708A3"/>
    <w:rsid w:val="00472A43"/>
    <w:rsid w:val="004756E1"/>
    <w:rsid w:val="00476D86"/>
    <w:rsid w:val="00477664"/>
    <w:rsid w:val="004825AC"/>
    <w:rsid w:val="00482F42"/>
    <w:rsid w:val="00491738"/>
    <w:rsid w:val="00493DFE"/>
    <w:rsid w:val="004A4D3A"/>
    <w:rsid w:val="004B358C"/>
    <w:rsid w:val="004B4524"/>
    <w:rsid w:val="004B5288"/>
    <w:rsid w:val="004B6A84"/>
    <w:rsid w:val="004C5FE1"/>
    <w:rsid w:val="004D150C"/>
    <w:rsid w:val="004E060A"/>
    <w:rsid w:val="004E25FA"/>
    <w:rsid w:val="004E68D3"/>
    <w:rsid w:val="00511059"/>
    <w:rsid w:val="00512214"/>
    <w:rsid w:val="00512E3C"/>
    <w:rsid w:val="00526DAB"/>
    <w:rsid w:val="00530CB7"/>
    <w:rsid w:val="00540F6D"/>
    <w:rsid w:val="0054100A"/>
    <w:rsid w:val="0056172E"/>
    <w:rsid w:val="00570035"/>
    <w:rsid w:val="00571845"/>
    <w:rsid w:val="00597E0E"/>
    <w:rsid w:val="005B729B"/>
    <w:rsid w:val="005D2180"/>
    <w:rsid w:val="005D4B5D"/>
    <w:rsid w:val="00603ECE"/>
    <w:rsid w:val="006077A0"/>
    <w:rsid w:val="0062089C"/>
    <w:rsid w:val="00633D11"/>
    <w:rsid w:val="00644C60"/>
    <w:rsid w:val="00645AD1"/>
    <w:rsid w:val="00663804"/>
    <w:rsid w:val="00667F8A"/>
    <w:rsid w:val="006725C1"/>
    <w:rsid w:val="0068665B"/>
    <w:rsid w:val="006956AA"/>
    <w:rsid w:val="00721A6E"/>
    <w:rsid w:val="007714FD"/>
    <w:rsid w:val="0077656C"/>
    <w:rsid w:val="00784D16"/>
    <w:rsid w:val="0079045B"/>
    <w:rsid w:val="00792F9B"/>
    <w:rsid w:val="007A304D"/>
    <w:rsid w:val="007B1455"/>
    <w:rsid w:val="007D0A79"/>
    <w:rsid w:val="007D15D8"/>
    <w:rsid w:val="007E1575"/>
    <w:rsid w:val="007F4458"/>
    <w:rsid w:val="008079D2"/>
    <w:rsid w:val="00827B1A"/>
    <w:rsid w:val="00846A35"/>
    <w:rsid w:val="00856120"/>
    <w:rsid w:val="00882046"/>
    <w:rsid w:val="00886573"/>
    <w:rsid w:val="00894011"/>
    <w:rsid w:val="008A050C"/>
    <w:rsid w:val="008B6F80"/>
    <w:rsid w:val="008D1E90"/>
    <w:rsid w:val="008D5AB7"/>
    <w:rsid w:val="008D6B4A"/>
    <w:rsid w:val="008F7F50"/>
    <w:rsid w:val="00906561"/>
    <w:rsid w:val="00916271"/>
    <w:rsid w:val="009268A6"/>
    <w:rsid w:val="0092792F"/>
    <w:rsid w:val="00930599"/>
    <w:rsid w:val="0093308F"/>
    <w:rsid w:val="009350B0"/>
    <w:rsid w:val="0094492E"/>
    <w:rsid w:val="00945745"/>
    <w:rsid w:val="00946785"/>
    <w:rsid w:val="0095551C"/>
    <w:rsid w:val="009736EC"/>
    <w:rsid w:val="009A461D"/>
    <w:rsid w:val="009A50E1"/>
    <w:rsid w:val="009A7FB4"/>
    <w:rsid w:val="009B0330"/>
    <w:rsid w:val="009B4B7C"/>
    <w:rsid w:val="009C41A2"/>
    <w:rsid w:val="009D7EF0"/>
    <w:rsid w:val="009E3A09"/>
    <w:rsid w:val="009E78B0"/>
    <w:rsid w:val="009F4CD0"/>
    <w:rsid w:val="009F53DC"/>
    <w:rsid w:val="00A03903"/>
    <w:rsid w:val="00A301F6"/>
    <w:rsid w:val="00A533EA"/>
    <w:rsid w:val="00A55F05"/>
    <w:rsid w:val="00A86520"/>
    <w:rsid w:val="00AA763D"/>
    <w:rsid w:val="00AC1F10"/>
    <w:rsid w:val="00AD1B5F"/>
    <w:rsid w:val="00AD3D9D"/>
    <w:rsid w:val="00B0266B"/>
    <w:rsid w:val="00B05E78"/>
    <w:rsid w:val="00B12DD3"/>
    <w:rsid w:val="00B14DE2"/>
    <w:rsid w:val="00B32ED0"/>
    <w:rsid w:val="00B46BB0"/>
    <w:rsid w:val="00B5425D"/>
    <w:rsid w:val="00B56CC4"/>
    <w:rsid w:val="00B57AAC"/>
    <w:rsid w:val="00B62A73"/>
    <w:rsid w:val="00B670FF"/>
    <w:rsid w:val="00B7251D"/>
    <w:rsid w:val="00BA38DF"/>
    <w:rsid w:val="00BC5FF1"/>
    <w:rsid w:val="00BE1723"/>
    <w:rsid w:val="00C27557"/>
    <w:rsid w:val="00C54554"/>
    <w:rsid w:val="00C551B2"/>
    <w:rsid w:val="00C7702F"/>
    <w:rsid w:val="00C85D04"/>
    <w:rsid w:val="00CC6FEC"/>
    <w:rsid w:val="00CD1131"/>
    <w:rsid w:val="00CD3219"/>
    <w:rsid w:val="00CD5DE3"/>
    <w:rsid w:val="00CF78E6"/>
    <w:rsid w:val="00D118D2"/>
    <w:rsid w:val="00D13FAB"/>
    <w:rsid w:val="00D218B0"/>
    <w:rsid w:val="00D349E0"/>
    <w:rsid w:val="00D65EFD"/>
    <w:rsid w:val="00D82EFD"/>
    <w:rsid w:val="00D83EFD"/>
    <w:rsid w:val="00DA732A"/>
    <w:rsid w:val="00DC0F3A"/>
    <w:rsid w:val="00DC3D0E"/>
    <w:rsid w:val="00DD79B8"/>
    <w:rsid w:val="00E0364D"/>
    <w:rsid w:val="00E03A66"/>
    <w:rsid w:val="00E04E49"/>
    <w:rsid w:val="00E12E47"/>
    <w:rsid w:val="00E67334"/>
    <w:rsid w:val="00E70407"/>
    <w:rsid w:val="00E866BF"/>
    <w:rsid w:val="00EB6D41"/>
    <w:rsid w:val="00EB73C1"/>
    <w:rsid w:val="00ED026D"/>
    <w:rsid w:val="00ED270A"/>
    <w:rsid w:val="00EE3709"/>
    <w:rsid w:val="00F06F89"/>
    <w:rsid w:val="00F263E4"/>
    <w:rsid w:val="00F34956"/>
    <w:rsid w:val="00F60C4F"/>
    <w:rsid w:val="00F60C58"/>
    <w:rsid w:val="00F61BDA"/>
    <w:rsid w:val="00F61FFE"/>
    <w:rsid w:val="00F6740E"/>
    <w:rsid w:val="00F71727"/>
    <w:rsid w:val="00F72579"/>
    <w:rsid w:val="00F736B8"/>
    <w:rsid w:val="00F82AAD"/>
    <w:rsid w:val="00F86EFD"/>
    <w:rsid w:val="00F91684"/>
    <w:rsid w:val="00F91B1F"/>
    <w:rsid w:val="00F97FD7"/>
    <w:rsid w:val="00FA5E88"/>
    <w:rsid w:val="00FB5FAB"/>
    <w:rsid w:val="00FD2A0F"/>
    <w:rsid w:val="00FD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081A4"/>
  <w15:chartTrackingRefBased/>
  <w15:docId w15:val="{415D3ACF-88D3-2C40-88FF-BC66DF50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EC"/>
    <w:rPr>
      <w:rFonts w:ascii="Times New Roman" w:eastAsia="Times New Roman" w:hAnsi="Times New Roman" w:cs="Times New Roman"/>
    </w:rPr>
  </w:style>
  <w:style w:type="paragraph" w:styleId="Heading1">
    <w:name w:val="heading 1"/>
    <w:basedOn w:val="Normal"/>
    <w:next w:val="Normal"/>
    <w:link w:val="Heading1Char"/>
    <w:uiPriority w:val="9"/>
    <w:qFormat/>
    <w:rsid w:val="00526DA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5474"/>
    <w:pPr>
      <w:spacing w:before="100" w:beforeAutospacing="1" w:after="100" w:afterAutospacing="1"/>
    </w:pPr>
  </w:style>
  <w:style w:type="paragraph" w:styleId="BalloonText">
    <w:name w:val="Balloon Text"/>
    <w:basedOn w:val="Normal"/>
    <w:link w:val="BalloonTextChar"/>
    <w:uiPriority w:val="99"/>
    <w:semiHidden/>
    <w:unhideWhenUsed/>
    <w:rsid w:val="0068665B"/>
    <w:rPr>
      <w:sz w:val="18"/>
      <w:szCs w:val="18"/>
    </w:rPr>
  </w:style>
  <w:style w:type="character" w:customStyle="1" w:styleId="BalloonTextChar">
    <w:name w:val="Balloon Text Char"/>
    <w:basedOn w:val="DefaultParagraphFont"/>
    <w:link w:val="BalloonText"/>
    <w:uiPriority w:val="99"/>
    <w:semiHidden/>
    <w:rsid w:val="0068665B"/>
    <w:rPr>
      <w:rFonts w:ascii="Times New Roman" w:hAnsi="Times New Roman" w:cs="Times New Roman"/>
      <w:sz w:val="18"/>
      <w:szCs w:val="18"/>
    </w:rPr>
  </w:style>
  <w:style w:type="character" w:customStyle="1" w:styleId="subframecontent">
    <w:name w:val="subframecontent"/>
    <w:basedOn w:val="DefaultParagraphFont"/>
    <w:rsid w:val="00493DFE"/>
  </w:style>
  <w:style w:type="paragraph" w:styleId="Caption">
    <w:name w:val="caption"/>
    <w:basedOn w:val="Normal"/>
    <w:next w:val="Normal"/>
    <w:uiPriority w:val="35"/>
    <w:unhideWhenUsed/>
    <w:qFormat/>
    <w:rsid w:val="009D7EF0"/>
    <w:pPr>
      <w:spacing w:after="200"/>
    </w:pPr>
    <w:rPr>
      <w:i/>
      <w:iCs/>
      <w:color w:val="44546A" w:themeColor="text2"/>
      <w:sz w:val="18"/>
      <w:szCs w:val="18"/>
    </w:rPr>
  </w:style>
  <w:style w:type="paragraph" w:styleId="ListParagraph">
    <w:name w:val="List Paragraph"/>
    <w:basedOn w:val="Normal"/>
    <w:uiPriority w:val="34"/>
    <w:qFormat/>
    <w:rsid w:val="009350B0"/>
    <w:pPr>
      <w:ind w:left="720"/>
      <w:contextualSpacing/>
    </w:pPr>
  </w:style>
  <w:style w:type="character" w:styleId="PlaceholderText">
    <w:name w:val="Placeholder Text"/>
    <w:basedOn w:val="DefaultParagraphFont"/>
    <w:uiPriority w:val="99"/>
    <w:semiHidden/>
    <w:rsid w:val="0039766E"/>
    <w:rPr>
      <w:color w:val="808080"/>
    </w:rPr>
  </w:style>
  <w:style w:type="table" w:styleId="TableGrid">
    <w:name w:val="Table Grid"/>
    <w:basedOn w:val="TableNormal"/>
    <w:uiPriority w:val="39"/>
    <w:rsid w:val="00894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6DAB"/>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526DAB"/>
    <w:rPr>
      <w:sz w:val="20"/>
      <w:szCs w:val="20"/>
    </w:rPr>
  </w:style>
  <w:style w:type="character" w:customStyle="1" w:styleId="FootnoteTextChar">
    <w:name w:val="Footnote Text Char"/>
    <w:basedOn w:val="DefaultParagraphFont"/>
    <w:link w:val="FootnoteText"/>
    <w:uiPriority w:val="99"/>
    <w:semiHidden/>
    <w:rsid w:val="00526DAB"/>
    <w:rPr>
      <w:sz w:val="20"/>
      <w:szCs w:val="20"/>
    </w:rPr>
  </w:style>
  <w:style w:type="character" w:styleId="FootnoteReference">
    <w:name w:val="footnote reference"/>
    <w:basedOn w:val="DefaultParagraphFont"/>
    <w:uiPriority w:val="99"/>
    <w:semiHidden/>
    <w:unhideWhenUsed/>
    <w:rsid w:val="00526DAB"/>
    <w:rPr>
      <w:vertAlign w:val="superscript"/>
    </w:rPr>
  </w:style>
  <w:style w:type="paragraph" w:styleId="Header">
    <w:name w:val="header"/>
    <w:basedOn w:val="Normal"/>
    <w:link w:val="HeaderChar"/>
    <w:uiPriority w:val="99"/>
    <w:unhideWhenUsed/>
    <w:rsid w:val="00B57AAC"/>
    <w:pPr>
      <w:tabs>
        <w:tab w:val="center" w:pos="4680"/>
        <w:tab w:val="right" w:pos="9360"/>
      </w:tabs>
    </w:pPr>
  </w:style>
  <w:style w:type="character" w:customStyle="1" w:styleId="HeaderChar">
    <w:name w:val="Header Char"/>
    <w:basedOn w:val="DefaultParagraphFont"/>
    <w:link w:val="Header"/>
    <w:uiPriority w:val="99"/>
    <w:rsid w:val="00B57AAC"/>
  </w:style>
  <w:style w:type="character" w:styleId="PageNumber">
    <w:name w:val="page number"/>
    <w:basedOn w:val="DefaultParagraphFont"/>
    <w:uiPriority w:val="99"/>
    <w:semiHidden/>
    <w:unhideWhenUsed/>
    <w:rsid w:val="00B57AAC"/>
  </w:style>
  <w:style w:type="character" w:styleId="Hyperlink">
    <w:name w:val="Hyperlink"/>
    <w:basedOn w:val="DefaultParagraphFont"/>
    <w:uiPriority w:val="99"/>
    <w:unhideWhenUsed/>
    <w:rsid w:val="004E060A"/>
    <w:rPr>
      <w:color w:val="0000FF"/>
      <w:u w:val="single"/>
    </w:rPr>
  </w:style>
  <w:style w:type="character" w:styleId="FollowedHyperlink">
    <w:name w:val="FollowedHyperlink"/>
    <w:basedOn w:val="DefaultParagraphFont"/>
    <w:uiPriority w:val="99"/>
    <w:semiHidden/>
    <w:unhideWhenUsed/>
    <w:rsid w:val="009736EC"/>
    <w:rPr>
      <w:color w:val="954F72" w:themeColor="followedHyperlink"/>
      <w:u w:val="single"/>
    </w:rPr>
  </w:style>
  <w:style w:type="character" w:styleId="UnresolvedMention">
    <w:name w:val="Unresolved Mention"/>
    <w:basedOn w:val="DefaultParagraphFont"/>
    <w:uiPriority w:val="99"/>
    <w:semiHidden/>
    <w:unhideWhenUsed/>
    <w:rsid w:val="009736EC"/>
    <w:rPr>
      <w:color w:val="605E5C"/>
      <w:shd w:val="clear" w:color="auto" w:fill="E1DFDD"/>
    </w:rPr>
  </w:style>
  <w:style w:type="character" w:styleId="CommentReference">
    <w:name w:val="annotation reference"/>
    <w:basedOn w:val="DefaultParagraphFont"/>
    <w:uiPriority w:val="99"/>
    <w:semiHidden/>
    <w:unhideWhenUsed/>
    <w:rsid w:val="00C85D04"/>
    <w:rPr>
      <w:sz w:val="18"/>
      <w:szCs w:val="18"/>
    </w:rPr>
  </w:style>
  <w:style w:type="paragraph" w:styleId="CommentText">
    <w:name w:val="annotation text"/>
    <w:basedOn w:val="Normal"/>
    <w:link w:val="CommentTextChar"/>
    <w:uiPriority w:val="99"/>
    <w:semiHidden/>
    <w:unhideWhenUsed/>
    <w:rsid w:val="00C85D04"/>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C85D04"/>
    <w:rPr>
      <w:rFonts w:eastAsiaTheme="minorEastAsia"/>
    </w:rPr>
  </w:style>
  <w:style w:type="paragraph" w:styleId="TOCHeading">
    <w:name w:val="TOC Heading"/>
    <w:basedOn w:val="Heading1"/>
    <w:next w:val="Normal"/>
    <w:uiPriority w:val="39"/>
    <w:unhideWhenUsed/>
    <w:qFormat/>
    <w:rsid w:val="00140DE3"/>
    <w:pPr>
      <w:spacing w:before="480" w:line="276" w:lineRule="auto"/>
      <w:outlineLvl w:val="9"/>
    </w:pPr>
    <w:rPr>
      <w:b/>
      <w:bCs/>
      <w:sz w:val="28"/>
      <w:szCs w:val="28"/>
    </w:rPr>
  </w:style>
  <w:style w:type="paragraph" w:styleId="TOC1">
    <w:name w:val="toc 1"/>
    <w:basedOn w:val="Normal"/>
    <w:next w:val="Normal"/>
    <w:autoRedefine/>
    <w:uiPriority w:val="39"/>
    <w:semiHidden/>
    <w:unhideWhenUsed/>
    <w:rsid w:val="00140DE3"/>
    <w:pPr>
      <w:spacing w:before="120" w:after="120"/>
    </w:pPr>
    <w:rPr>
      <w:rFonts w:asciiTheme="minorHAnsi" w:hAnsiTheme="minorHAnsi"/>
      <w:b/>
      <w:bCs/>
      <w:caps/>
      <w:sz w:val="20"/>
      <w:szCs w:val="20"/>
    </w:rPr>
  </w:style>
  <w:style w:type="paragraph" w:styleId="TOC2">
    <w:name w:val="toc 2"/>
    <w:basedOn w:val="Normal"/>
    <w:next w:val="Normal"/>
    <w:autoRedefine/>
    <w:uiPriority w:val="39"/>
    <w:semiHidden/>
    <w:unhideWhenUsed/>
    <w:rsid w:val="00140DE3"/>
    <w:pPr>
      <w:ind w:left="240"/>
    </w:pPr>
    <w:rPr>
      <w:rFonts w:asciiTheme="minorHAnsi" w:hAnsiTheme="minorHAnsi"/>
      <w:smallCaps/>
      <w:sz w:val="20"/>
      <w:szCs w:val="20"/>
    </w:rPr>
  </w:style>
  <w:style w:type="paragraph" w:styleId="TOC3">
    <w:name w:val="toc 3"/>
    <w:basedOn w:val="Normal"/>
    <w:next w:val="Normal"/>
    <w:autoRedefine/>
    <w:uiPriority w:val="39"/>
    <w:semiHidden/>
    <w:unhideWhenUsed/>
    <w:rsid w:val="00140DE3"/>
    <w:pPr>
      <w:ind w:left="480"/>
    </w:pPr>
    <w:rPr>
      <w:rFonts w:asciiTheme="minorHAnsi" w:hAnsiTheme="minorHAnsi"/>
      <w:i/>
      <w:iCs/>
      <w:sz w:val="20"/>
      <w:szCs w:val="20"/>
    </w:rPr>
  </w:style>
  <w:style w:type="paragraph" w:styleId="TOC4">
    <w:name w:val="toc 4"/>
    <w:basedOn w:val="Normal"/>
    <w:next w:val="Normal"/>
    <w:autoRedefine/>
    <w:uiPriority w:val="39"/>
    <w:semiHidden/>
    <w:unhideWhenUsed/>
    <w:rsid w:val="00140DE3"/>
    <w:pPr>
      <w:ind w:left="720"/>
    </w:pPr>
    <w:rPr>
      <w:rFonts w:asciiTheme="minorHAnsi" w:hAnsiTheme="minorHAnsi"/>
      <w:sz w:val="18"/>
      <w:szCs w:val="18"/>
    </w:rPr>
  </w:style>
  <w:style w:type="paragraph" w:styleId="TOC5">
    <w:name w:val="toc 5"/>
    <w:basedOn w:val="Normal"/>
    <w:next w:val="Normal"/>
    <w:autoRedefine/>
    <w:uiPriority w:val="39"/>
    <w:semiHidden/>
    <w:unhideWhenUsed/>
    <w:rsid w:val="00140DE3"/>
    <w:pPr>
      <w:ind w:left="960"/>
    </w:pPr>
    <w:rPr>
      <w:rFonts w:asciiTheme="minorHAnsi" w:hAnsiTheme="minorHAnsi"/>
      <w:sz w:val="18"/>
      <w:szCs w:val="18"/>
    </w:rPr>
  </w:style>
  <w:style w:type="paragraph" w:styleId="TOC6">
    <w:name w:val="toc 6"/>
    <w:basedOn w:val="Normal"/>
    <w:next w:val="Normal"/>
    <w:autoRedefine/>
    <w:uiPriority w:val="39"/>
    <w:semiHidden/>
    <w:unhideWhenUsed/>
    <w:rsid w:val="00140DE3"/>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140DE3"/>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140DE3"/>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140DE3"/>
    <w:pPr>
      <w:ind w:left="1920"/>
    </w:pPr>
    <w:rPr>
      <w:rFonts w:asciiTheme="minorHAnsi" w:hAnsiTheme="minorHAnsi"/>
      <w:sz w:val="18"/>
      <w:szCs w:val="18"/>
    </w:rPr>
  </w:style>
  <w:style w:type="paragraph" w:styleId="Title">
    <w:name w:val="Title"/>
    <w:basedOn w:val="Normal"/>
    <w:next w:val="Normal"/>
    <w:link w:val="TitleChar"/>
    <w:uiPriority w:val="10"/>
    <w:qFormat/>
    <w:rsid w:val="00140DE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DE3"/>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011415"/>
    <w:pPr>
      <w:tabs>
        <w:tab w:val="center" w:pos="4680"/>
        <w:tab w:val="right" w:pos="9360"/>
      </w:tabs>
    </w:pPr>
  </w:style>
  <w:style w:type="character" w:customStyle="1" w:styleId="FooterChar">
    <w:name w:val="Footer Char"/>
    <w:basedOn w:val="DefaultParagraphFont"/>
    <w:link w:val="Footer"/>
    <w:uiPriority w:val="99"/>
    <w:rsid w:val="0001141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269">
      <w:bodyDiv w:val="1"/>
      <w:marLeft w:val="0"/>
      <w:marRight w:val="0"/>
      <w:marTop w:val="0"/>
      <w:marBottom w:val="0"/>
      <w:divBdr>
        <w:top w:val="none" w:sz="0" w:space="0" w:color="auto"/>
        <w:left w:val="none" w:sz="0" w:space="0" w:color="auto"/>
        <w:bottom w:val="none" w:sz="0" w:space="0" w:color="auto"/>
        <w:right w:val="none" w:sz="0" w:space="0" w:color="auto"/>
      </w:divBdr>
    </w:div>
    <w:div w:id="46884497">
      <w:bodyDiv w:val="1"/>
      <w:marLeft w:val="0"/>
      <w:marRight w:val="0"/>
      <w:marTop w:val="0"/>
      <w:marBottom w:val="0"/>
      <w:divBdr>
        <w:top w:val="none" w:sz="0" w:space="0" w:color="auto"/>
        <w:left w:val="none" w:sz="0" w:space="0" w:color="auto"/>
        <w:bottom w:val="none" w:sz="0" w:space="0" w:color="auto"/>
        <w:right w:val="none" w:sz="0" w:space="0" w:color="auto"/>
      </w:divBdr>
    </w:div>
    <w:div w:id="97336194">
      <w:bodyDiv w:val="1"/>
      <w:marLeft w:val="0"/>
      <w:marRight w:val="0"/>
      <w:marTop w:val="0"/>
      <w:marBottom w:val="0"/>
      <w:divBdr>
        <w:top w:val="none" w:sz="0" w:space="0" w:color="auto"/>
        <w:left w:val="none" w:sz="0" w:space="0" w:color="auto"/>
        <w:bottom w:val="none" w:sz="0" w:space="0" w:color="auto"/>
        <w:right w:val="none" w:sz="0" w:space="0" w:color="auto"/>
      </w:divBdr>
    </w:div>
    <w:div w:id="183634028">
      <w:bodyDiv w:val="1"/>
      <w:marLeft w:val="0"/>
      <w:marRight w:val="0"/>
      <w:marTop w:val="0"/>
      <w:marBottom w:val="0"/>
      <w:divBdr>
        <w:top w:val="none" w:sz="0" w:space="0" w:color="auto"/>
        <w:left w:val="none" w:sz="0" w:space="0" w:color="auto"/>
        <w:bottom w:val="none" w:sz="0" w:space="0" w:color="auto"/>
        <w:right w:val="none" w:sz="0" w:space="0" w:color="auto"/>
      </w:divBdr>
    </w:div>
    <w:div w:id="192688806">
      <w:bodyDiv w:val="1"/>
      <w:marLeft w:val="0"/>
      <w:marRight w:val="0"/>
      <w:marTop w:val="0"/>
      <w:marBottom w:val="0"/>
      <w:divBdr>
        <w:top w:val="none" w:sz="0" w:space="0" w:color="auto"/>
        <w:left w:val="none" w:sz="0" w:space="0" w:color="auto"/>
        <w:bottom w:val="none" w:sz="0" w:space="0" w:color="auto"/>
        <w:right w:val="none" w:sz="0" w:space="0" w:color="auto"/>
      </w:divBdr>
    </w:div>
    <w:div w:id="208807142">
      <w:bodyDiv w:val="1"/>
      <w:marLeft w:val="0"/>
      <w:marRight w:val="0"/>
      <w:marTop w:val="0"/>
      <w:marBottom w:val="0"/>
      <w:divBdr>
        <w:top w:val="none" w:sz="0" w:space="0" w:color="auto"/>
        <w:left w:val="none" w:sz="0" w:space="0" w:color="auto"/>
        <w:bottom w:val="none" w:sz="0" w:space="0" w:color="auto"/>
        <w:right w:val="none" w:sz="0" w:space="0" w:color="auto"/>
      </w:divBdr>
    </w:div>
    <w:div w:id="248346442">
      <w:bodyDiv w:val="1"/>
      <w:marLeft w:val="0"/>
      <w:marRight w:val="0"/>
      <w:marTop w:val="0"/>
      <w:marBottom w:val="0"/>
      <w:divBdr>
        <w:top w:val="none" w:sz="0" w:space="0" w:color="auto"/>
        <w:left w:val="none" w:sz="0" w:space="0" w:color="auto"/>
        <w:bottom w:val="none" w:sz="0" w:space="0" w:color="auto"/>
        <w:right w:val="none" w:sz="0" w:space="0" w:color="auto"/>
      </w:divBdr>
    </w:div>
    <w:div w:id="253128841">
      <w:bodyDiv w:val="1"/>
      <w:marLeft w:val="0"/>
      <w:marRight w:val="0"/>
      <w:marTop w:val="0"/>
      <w:marBottom w:val="0"/>
      <w:divBdr>
        <w:top w:val="none" w:sz="0" w:space="0" w:color="auto"/>
        <w:left w:val="none" w:sz="0" w:space="0" w:color="auto"/>
        <w:bottom w:val="none" w:sz="0" w:space="0" w:color="auto"/>
        <w:right w:val="none" w:sz="0" w:space="0" w:color="auto"/>
      </w:divBdr>
    </w:div>
    <w:div w:id="282419615">
      <w:bodyDiv w:val="1"/>
      <w:marLeft w:val="0"/>
      <w:marRight w:val="0"/>
      <w:marTop w:val="0"/>
      <w:marBottom w:val="0"/>
      <w:divBdr>
        <w:top w:val="none" w:sz="0" w:space="0" w:color="auto"/>
        <w:left w:val="none" w:sz="0" w:space="0" w:color="auto"/>
        <w:bottom w:val="none" w:sz="0" w:space="0" w:color="auto"/>
        <w:right w:val="none" w:sz="0" w:space="0" w:color="auto"/>
      </w:divBdr>
    </w:div>
    <w:div w:id="288050942">
      <w:bodyDiv w:val="1"/>
      <w:marLeft w:val="0"/>
      <w:marRight w:val="0"/>
      <w:marTop w:val="0"/>
      <w:marBottom w:val="0"/>
      <w:divBdr>
        <w:top w:val="none" w:sz="0" w:space="0" w:color="auto"/>
        <w:left w:val="none" w:sz="0" w:space="0" w:color="auto"/>
        <w:bottom w:val="none" w:sz="0" w:space="0" w:color="auto"/>
        <w:right w:val="none" w:sz="0" w:space="0" w:color="auto"/>
      </w:divBdr>
    </w:div>
    <w:div w:id="316766570">
      <w:bodyDiv w:val="1"/>
      <w:marLeft w:val="0"/>
      <w:marRight w:val="0"/>
      <w:marTop w:val="0"/>
      <w:marBottom w:val="0"/>
      <w:divBdr>
        <w:top w:val="none" w:sz="0" w:space="0" w:color="auto"/>
        <w:left w:val="none" w:sz="0" w:space="0" w:color="auto"/>
        <w:bottom w:val="none" w:sz="0" w:space="0" w:color="auto"/>
        <w:right w:val="none" w:sz="0" w:space="0" w:color="auto"/>
      </w:divBdr>
    </w:div>
    <w:div w:id="321857092">
      <w:bodyDiv w:val="1"/>
      <w:marLeft w:val="0"/>
      <w:marRight w:val="0"/>
      <w:marTop w:val="0"/>
      <w:marBottom w:val="0"/>
      <w:divBdr>
        <w:top w:val="none" w:sz="0" w:space="0" w:color="auto"/>
        <w:left w:val="none" w:sz="0" w:space="0" w:color="auto"/>
        <w:bottom w:val="none" w:sz="0" w:space="0" w:color="auto"/>
        <w:right w:val="none" w:sz="0" w:space="0" w:color="auto"/>
      </w:divBdr>
    </w:div>
    <w:div w:id="326444917">
      <w:bodyDiv w:val="1"/>
      <w:marLeft w:val="0"/>
      <w:marRight w:val="0"/>
      <w:marTop w:val="0"/>
      <w:marBottom w:val="0"/>
      <w:divBdr>
        <w:top w:val="none" w:sz="0" w:space="0" w:color="auto"/>
        <w:left w:val="none" w:sz="0" w:space="0" w:color="auto"/>
        <w:bottom w:val="none" w:sz="0" w:space="0" w:color="auto"/>
        <w:right w:val="none" w:sz="0" w:space="0" w:color="auto"/>
      </w:divBdr>
    </w:div>
    <w:div w:id="329143663">
      <w:bodyDiv w:val="1"/>
      <w:marLeft w:val="0"/>
      <w:marRight w:val="0"/>
      <w:marTop w:val="0"/>
      <w:marBottom w:val="0"/>
      <w:divBdr>
        <w:top w:val="none" w:sz="0" w:space="0" w:color="auto"/>
        <w:left w:val="none" w:sz="0" w:space="0" w:color="auto"/>
        <w:bottom w:val="none" w:sz="0" w:space="0" w:color="auto"/>
        <w:right w:val="none" w:sz="0" w:space="0" w:color="auto"/>
      </w:divBdr>
    </w:div>
    <w:div w:id="341667674">
      <w:bodyDiv w:val="1"/>
      <w:marLeft w:val="0"/>
      <w:marRight w:val="0"/>
      <w:marTop w:val="0"/>
      <w:marBottom w:val="0"/>
      <w:divBdr>
        <w:top w:val="none" w:sz="0" w:space="0" w:color="auto"/>
        <w:left w:val="none" w:sz="0" w:space="0" w:color="auto"/>
        <w:bottom w:val="none" w:sz="0" w:space="0" w:color="auto"/>
        <w:right w:val="none" w:sz="0" w:space="0" w:color="auto"/>
      </w:divBdr>
    </w:div>
    <w:div w:id="350961503">
      <w:bodyDiv w:val="1"/>
      <w:marLeft w:val="0"/>
      <w:marRight w:val="0"/>
      <w:marTop w:val="0"/>
      <w:marBottom w:val="0"/>
      <w:divBdr>
        <w:top w:val="none" w:sz="0" w:space="0" w:color="auto"/>
        <w:left w:val="none" w:sz="0" w:space="0" w:color="auto"/>
        <w:bottom w:val="none" w:sz="0" w:space="0" w:color="auto"/>
        <w:right w:val="none" w:sz="0" w:space="0" w:color="auto"/>
      </w:divBdr>
    </w:div>
    <w:div w:id="376777128">
      <w:bodyDiv w:val="1"/>
      <w:marLeft w:val="0"/>
      <w:marRight w:val="0"/>
      <w:marTop w:val="0"/>
      <w:marBottom w:val="0"/>
      <w:divBdr>
        <w:top w:val="none" w:sz="0" w:space="0" w:color="auto"/>
        <w:left w:val="none" w:sz="0" w:space="0" w:color="auto"/>
        <w:bottom w:val="none" w:sz="0" w:space="0" w:color="auto"/>
        <w:right w:val="none" w:sz="0" w:space="0" w:color="auto"/>
      </w:divBdr>
    </w:div>
    <w:div w:id="408700436">
      <w:bodyDiv w:val="1"/>
      <w:marLeft w:val="0"/>
      <w:marRight w:val="0"/>
      <w:marTop w:val="0"/>
      <w:marBottom w:val="0"/>
      <w:divBdr>
        <w:top w:val="none" w:sz="0" w:space="0" w:color="auto"/>
        <w:left w:val="none" w:sz="0" w:space="0" w:color="auto"/>
        <w:bottom w:val="none" w:sz="0" w:space="0" w:color="auto"/>
        <w:right w:val="none" w:sz="0" w:space="0" w:color="auto"/>
      </w:divBdr>
    </w:div>
    <w:div w:id="412436900">
      <w:bodyDiv w:val="1"/>
      <w:marLeft w:val="0"/>
      <w:marRight w:val="0"/>
      <w:marTop w:val="0"/>
      <w:marBottom w:val="0"/>
      <w:divBdr>
        <w:top w:val="none" w:sz="0" w:space="0" w:color="auto"/>
        <w:left w:val="none" w:sz="0" w:space="0" w:color="auto"/>
        <w:bottom w:val="none" w:sz="0" w:space="0" w:color="auto"/>
        <w:right w:val="none" w:sz="0" w:space="0" w:color="auto"/>
      </w:divBdr>
    </w:div>
    <w:div w:id="533425320">
      <w:bodyDiv w:val="1"/>
      <w:marLeft w:val="0"/>
      <w:marRight w:val="0"/>
      <w:marTop w:val="0"/>
      <w:marBottom w:val="0"/>
      <w:divBdr>
        <w:top w:val="none" w:sz="0" w:space="0" w:color="auto"/>
        <w:left w:val="none" w:sz="0" w:space="0" w:color="auto"/>
        <w:bottom w:val="none" w:sz="0" w:space="0" w:color="auto"/>
        <w:right w:val="none" w:sz="0" w:space="0" w:color="auto"/>
      </w:divBdr>
    </w:div>
    <w:div w:id="553588850">
      <w:bodyDiv w:val="1"/>
      <w:marLeft w:val="0"/>
      <w:marRight w:val="0"/>
      <w:marTop w:val="0"/>
      <w:marBottom w:val="0"/>
      <w:divBdr>
        <w:top w:val="none" w:sz="0" w:space="0" w:color="auto"/>
        <w:left w:val="none" w:sz="0" w:space="0" w:color="auto"/>
        <w:bottom w:val="none" w:sz="0" w:space="0" w:color="auto"/>
        <w:right w:val="none" w:sz="0" w:space="0" w:color="auto"/>
      </w:divBdr>
    </w:div>
    <w:div w:id="615451454">
      <w:bodyDiv w:val="1"/>
      <w:marLeft w:val="0"/>
      <w:marRight w:val="0"/>
      <w:marTop w:val="0"/>
      <w:marBottom w:val="0"/>
      <w:divBdr>
        <w:top w:val="none" w:sz="0" w:space="0" w:color="auto"/>
        <w:left w:val="none" w:sz="0" w:space="0" w:color="auto"/>
        <w:bottom w:val="none" w:sz="0" w:space="0" w:color="auto"/>
        <w:right w:val="none" w:sz="0" w:space="0" w:color="auto"/>
      </w:divBdr>
    </w:div>
    <w:div w:id="696085812">
      <w:bodyDiv w:val="1"/>
      <w:marLeft w:val="0"/>
      <w:marRight w:val="0"/>
      <w:marTop w:val="0"/>
      <w:marBottom w:val="0"/>
      <w:divBdr>
        <w:top w:val="none" w:sz="0" w:space="0" w:color="auto"/>
        <w:left w:val="none" w:sz="0" w:space="0" w:color="auto"/>
        <w:bottom w:val="none" w:sz="0" w:space="0" w:color="auto"/>
        <w:right w:val="none" w:sz="0" w:space="0" w:color="auto"/>
      </w:divBdr>
    </w:div>
    <w:div w:id="764502556">
      <w:bodyDiv w:val="1"/>
      <w:marLeft w:val="0"/>
      <w:marRight w:val="0"/>
      <w:marTop w:val="0"/>
      <w:marBottom w:val="0"/>
      <w:divBdr>
        <w:top w:val="none" w:sz="0" w:space="0" w:color="auto"/>
        <w:left w:val="none" w:sz="0" w:space="0" w:color="auto"/>
        <w:bottom w:val="none" w:sz="0" w:space="0" w:color="auto"/>
        <w:right w:val="none" w:sz="0" w:space="0" w:color="auto"/>
      </w:divBdr>
    </w:div>
    <w:div w:id="780031022">
      <w:bodyDiv w:val="1"/>
      <w:marLeft w:val="0"/>
      <w:marRight w:val="0"/>
      <w:marTop w:val="0"/>
      <w:marBottom w:val="0"/>
      <w:divBdr>
        <w:top w:val="none" w:sz="0" w:space="0" w:color="auto"/>
        <w:left w:val="none" w:sz="0" w:space="0" w:color="auto"/>
        <w:bottom w:val="none" w:sz="0" w:space="0" w:color="auto"/>
        <w:right w:val="none" w:sz="0" w:space="0" w:color="auto"/>
      </w:divBdr>
    </w:div>
    <w:div w:id="793208454">
      <w:bodyDiv w:val="1"/>
      <w:marLeft w:val="0"/>
      <w:marRight w:val="0"/>
      <w:marTop w:val="0"/>
      <w:marBottom w:val="0"/>
      <w:divBdr>
        <w:top w:val="none" w:sz="0" w:space="0" w:color="auto"/>
        <w:left w:val="none" w:sz="0" w:space="0" w:color="auto"/>
        <w:bottom w:val="none" w:sz="0" w:space="0" w:color="auto"/>
        <w:right w:val="none" w:sz="0" w:space="0" w:color="auto"/>
      </w:divBdr>
    </w:div>
    <w:div w:id="821433134">
      <w:bodyDiv w:val="1"/>
      <w:marLeft w:val="0"/>
      <w:marRight w:val="0"/>
      <w:marTop w:val="0"/>
      <w:marBottom w:val="0"/>
      <w:divBdr>
        <w:top w:val="none" w:sz="0" w:space="0" w:color="auto"/>
        <w:left w:val="none" w:sz="0" w:space="0" w:color="auto"/>
        <w:bottom w:val="none" w:sz="0" w:space="0" w:color="auto"/>
        <w:right w:val="none" w:sz="0" w:space="0" w:color="auto"/>
      </w:divBdr>
    </w:div>
    <w:div w:id="838271973">
      <w:bodyDiv w:val="1"/>
      <w:marLeft w:val="0"/>
      <w:marRight w:val="0"/>
      <w:marTop w:val="0"/>
      <w:marBottom w:val="0"/>
      <w:divBdr>
        <w:top w:val="none" w:sz="0" w:space="0" w:color="auto"/>
        <w:left w:val="none" w:sz="0" w:space="0" w:color="auto"/>
        <w:bottom w:val="none" w:sz="0" w:space="0" w:color="auto"/>
        <w:right w:val="none" w:sz="0" w:space="0" w:color="auto"/>
      </w:divBdr>
    </w:div>
    <w:div w:id="841706233">
      <w:bodyDiv w:val="1"/>
      <w:marLeft w:val="0"/>
      <w:marRight w:val="0"/>
      <w:marTop w:val="0"/>
      <w:marBottom w:val="0"/>
      <w:divBdr>
        <w:top w:val="none" w:sz="0" w:space="0" w:color="auto"/>
        <w:left w:val="none" w:sz="0" w:space="0" w:color="auto"/>
        <w:bottom w:val="none" w:sz="0" w:space="0" w:color="auto"/>
        <w:right w:val="none" w:sz="0" w:space="0" w:color="auto"/>
      </w:divBdr>
    </w:div>
    <w:div w:id="860706760">
      <w:bodyDiv w:val="1"/>
      <w:marLeft w:val="0"/>
      <w:marRight w:val="0"/>
      <w:marTop w:val="0"/>
      <w:marBottom w:val="0"/>
      <w:divBdr>
        <w:top w:val="none" w:sz="0" w:space="0" w:color="auto"/>
        <w:left w:val="none" w:sz="0" w:space="0" w:color="auto"/>
        <w:bottom w:val="none" w:sz="0" w:space="0" w:color="auto"/>
        <w:right w:val="none" w:sz="0" w:space="0" w:color="auto"/>
      </w:divBdr>
    </w:div>
    <w:div w:id="866793726">
      <w:bodyDiv w:val="1"/>
      <w:marLeft w:val="0"/>
      <w:marRight w:val="0"/>
      <w:marTop w:val="0"/>
      <w:marBottom w:val="0"/>
      <w:divBdr>
        <w:top w:val="none" w:sz="0" w:space="0" w:color="auto"/>
        <w:left w:val="none" w:sz="0" w:space="0" w:color="auto"/>
        <w:bottom w:val="none" w:sz="0" w:space="0" w:color="auto"/>
        <w:right w:val="none" w:sz="0" w:space="0" w:color="auto"/>
      </w:divBdr>
    </w:div>
    <w:div w:id="904149799">
      <w:bodyDiv w:val="1"/>
      <w:marLeft w:val="0"/>
      <w:marRight w:val="0"/>
      <w:marTop w:val="0"/>
      <w:marBottom w:val="0"/>
      <w:divBdr>
        <w:top w:val="none" w:sz="0" w:space="0" w:color="auto"/>
        <w:left w:val="none" w:sz="0" w:space="0" w:color="auto"/>
        <w:bottom w:val="none" w:sz="0" w:space="0" w:color="auto"/>
        <w:right w:val="none" w:sz="0" w:space="0" w:color="auto"/>
      </w:divBdr>
    </w:div>
    <w:div w:id="909463704">
      <w:bodyDiv w:val="1"/>
      <w:marLeft w:val="0"/>
      <w:marRight w:val="0"/>
      <w:marTop w:val="0"/>
      <w:marBottom w:val="0"/>
      <w:divBdr>
        <w:top w:val="none" w:sz="0" w:space="0" w:color="auto"/>
        <w:left w:val="none" w:sz="0" w:space="0" w:color="auto"/>
        <w:bottom w:val="none" w:sz="0" w:space="0" w:color="auto"/>
        <w:right w:val="none" w:sz="0" w:space="0" w:color="auto"/>
      </w:divBdr>
    </w:div>
    <w:div w:id="950743916">
      <w:bodyDiv w:val="1"/>
      <w:marLeft w:val="0"/>
      <w:marRight w:val="0"/>
      <w:marTop w:val="0"/>
      <w:marBottom w:val="0"/>
      <w:divBdr>
        <w:top w:val="none" w:sz="0" w:space="0" w:color="auto"/>
        <w:left w:val="none" w:sz="0" w:space="0" w:color="auto"/>
        <w:bottom w:val="none" w:sz="0" w:space="0" w:color="auto"/>
        <w:right w:val="none" w:sz="0" w:space="0" w:color="auto"/>
      </w:divBdr>
    </w:div>
    <w:div w:id="974799055">
      <w:bodyDiv w:val="1"/>
      <w:marLeft w:val="0"/>
      <w:marRight w:val="0"/>
      <w:marTop w:val="0"/>
      <w:marBottom w:val="0"/>
      <w:divBdr>
        <w:top w:val="none" w:sz="0" w:space="0" w:color="auto"/>
        <w:left w:val="none" w:sz="0" w:space="0" w:color="auto"/>
        <w:bottom w:val="none" w:sz="0" w:space="0" w:color="auto"/>
        <w:right w:val="none" w:sz="0" w:space="0" w:color="auto"/>
      </w:divBdr>
    </w:div>
    <w:div w:id="983117752">
      <w:bodyDiv w:val="1"/>
      <w:marLeft w:val="0"/>
      <w:marRight w:val="0"/>
      <w:marTop w:val="0"/>
      <w:marBottom w:val="0"/>
      <w:divBdr>
        <w:top w:val="none" w:sz="0" w:space="0" w:color="auto"/>
        <w:left w:val="none" w:sz="0" w:space="0" w:color="auto"/>
        <w:bottom w:val="none" w:sz="0" w:space="0" w:color="auto"/>
        <w:right w:val="none" w:sz="0" w:space="0" w:color="auto"/>
      </w:divBdr>
    </w:div>
    <w:div w:id="1128624505">
      <w:bodyDiv w:val="1"/>
      <w:marLeft w:val="0"/>
      <w:marRight w:val="0"/>
      <w:marTop w:val="0"/>
      <w:marBottom w:val="0"/>
      <w:divBdr>
        <w:top w:val="none" w:sz="0" w:space="0" w:color="auto"/>
        <w:left w:val="none" w:sz="0" w:space="0" w:color="auto"/>
        <w:bottom w:val="none" w:sz="0" w:space="0" w:color="auto"/>
        <w:right w:val="none" w:sz="0" w:space="0" w:color="auto"/>
      </w:divBdr>
    </w:div>
    <w:div w:id="1181774177">
      <w:bodyDiv w:val="1"/>
      <w:marLeft w:val="0"/>
      <w:marRight w:val="0"/>
      <w:marTop w:val="0"/>
      <w:marBottom w:val="0"/>
      <w:divBdr>
        <w:top w:val="none" w:sz="0" w:space="0" w:color="auto"/>
        <w:left w:val="none" w:sz="0" w:space="0" w:color="auto"/>
        <w:bottom w:val="none" w:sz="0" w:space="0" w:color="auto"/>
        <w:right w:val="none" w:sz="0" w:space="0" w:color="auto"/>
      </w:divBdr>
    </w:div>
    <w:div w:id="1190068339">
      <w:bodyDiv w:val="1"/>
      <w:marLeft w:val="0"/>
      <w:marRight w:val="0"/>
      <w:marTop w:val="0"/>
      <w:marBottom w:val="0"/>
      <w:divBdr>
        <w:top w:val="none" w:sz="0" w:space="0" w:color="auto"/>
        <w:left w:val="none" w:sz="0" w:space="0" w:color="auto"/>
        <w:bottom w:val="none" w:sz="0" w:space="0" w:color="auto"/>
        <w:right w:val="none" w:sz="0" w:space="0" w:color="auto"/>
      </w:divBdr>
    </w:div>
    <w:div w:id="1193617874">
      <w:bodyDiv w:val="1"/>
      <w:marLeft w:val="0"/>
      <w:marRight w:val="0"/>
      <w:marTop w:val="0"/>
      <w:marBottom w:val="0"/>
      <w:divBdr>
        <w:top w:val="none" w:sz="0" w:space="0" w:color="auto"/>
        <w:left w:val="none" w:sz="0" w:space="0" w:color="auto"/>
        <w:bottom w:val="none" w:sz="0" w:space="0" w:color="auto"/>
        <w:right w:val="none" w:sz="0" w:space="0" w:color="auto"/>
      </w:divBdr>
    </w:div>
    <w:div w:id="1198934526">
      <w:bodyDiv w:val="1"/>
      <w:marLeft w:val="0"/>
      <w:marRight w:val="0"/>
      <w:marTop w:val="0"/>
      <w:marBottom w:val="0"/>
      <w:divBdr>
        <w:top w:val="none" w:sz="0" w:space="0" w:color="auto"/>
        <w:left w:val="none" w:sz="0" w:space="0" w:color="auto"/>
        <w:bottom w:val="none" w:sz="0" w:space="0" w:color="auto"/>
        <w:right w:val="none" w:sz="0" w:space="0" w:color="auto"/>
      </w:divBdr>
    </w:div>
    <w:div w:id="1229223032">
      <w:bodyDiv w:val="1"/>
      <w:marLeft w:val="0"/>
      <w:marRight w:val="0"/>
      <w:marTop w:val="0"/>
      <w:marBottom w:val="0"/>
      <w:divBdr>
        <w:top w:val="none" w:sz="0" w:space="0" w:color="auto"/>
        <w:left w:val="none" w:sz="0" w:space="0" w:color="auto"/>
        <w:bottom w:val="none" w:sz="0" w:space="0" w:color="auto"/>
        <w:right w:val="none" w:sz="0" w:space="0" w:color="auto"/>
      </w:divBdr>
    </w:div>
    <w:div w:id="1237083193">
      <w:bodyDiv w:val="1"/>
      <w:marLeft w:val="0"/>
      <w:marRight w:val="0"/>
      <w:marTop w:val="0"/>
      <w:marBottom w:val="0"/>
      <w:divBdr>
        <w:top w:val="none" w:sz="0" w:space="0" w:color="auto"/>
        <w:left w:val="none" w:sz="0" w:space="0" w:color="auto"/>
        <w:bottom w:val="none" w:sz="0" w:space="0" w:color="auto"/>
        <w:right w:val="none" w:sz="0" w:space="0" w:color="auto"/>
      </w:divBdr>
    </w:div>
    <w:div w:id="1302269011">
      <w:bodyDiv w:val="1"/>
      <w:marLeft w:val="0"/>
      <w:marRight w:val="0"/>
      <w:marTop w:val="0"/>
      <w:marBottom w:val="0"/>
      <w:divBdr>
        <w:top w:val="none" w:sz="0" w:space="0" w:color="auto"/>
        <w:left w:val="none" w:sz="0" w:space="0" w:color="auto"/>
        <w:bottom w:val="none" w:sz="0" w:space="0" w:color="auto"/>
        <w:right w:val="none" w:sz="0" w:space="0" w:color="auto"/>
      </w:divBdr>
    </w:div>
    <w:div w:id="1332760084">
      <w:bodyDiv w:val="1"/>
      <w:marLeft w:val="0"/>
      <w:marRight w:val="0"/>
      <w:marTop w:val="0"/>
      <w:marBottom w:val="0"/>
      <w:divBdr>
        <w:top w:val="none" w:sz="0" w:space="0" w:color="auto"/>
        <w:left w:val="none" w:sz="0" w:space="0" w:color="auto"/>
        <w:bottom w:val="none" w:sz="0" w:space="0" w:color="auto"/>
        <w:right w:val="none" w:sz="0" w:space="0" w:color="auto"/>
      </w:divBdr>
    </w:div>
    <w:div w:id="1419327714">
      <w:bodyDiv w:val="1"/>
      <w:marLeft w:val="0"/>
      <w:marRight w:val="0"/>
      <w:marTop w:val="0"/>
      <w:marBottom w:val="0"/>
      <w:divBdr>
        <w:top w:val="none" w:sz="0" w:space="0" w:color="auto"/>
        <w:left w:val="none" w:sz="0" w:space="0" w:color="auto"/>
        <w:bottom w:val="none" w:sz="0" w:space="0" w:color="auto"/>
        <w:right w:val="none" w:sz="0" w:space="0" w:color="auto"/>
      </w:divBdr>
    </w:div>
    <w:div w:id="1476798930">
      <w:bodyDiv w:val="1"/>
      <w:marLeft w:val="0"/>
      <w:marRight w:val="0"/>
      <w:marTop w:val="0"/>
      <w:marBottom w:val="0"/>
      <w:divBdr>
        <w:top w:val="none" w:sz="0" w:space="0" w:color="auto"/>
        <w:left w:val="none" w:sz="0" w:space="0" w:color="auto"/>
        <w:bottom w:val="none" w:sz="0" w:space="0" w:color="auto"/>
        <w:right w:val="none" w:sz="0" w:space="0" w:color="auto"/>
      </w:divBdr>
    </w:div>
    <w:div w:id="1563642270">
      <w:bodyDiv w:val="1"/>
      <w:marLeft w:val="0"/>
      <w:marRight w:val="0"/>
      <w:marTop w:val="0"/>
      <w:marBottom w:val="0"/>
      <w:divBdr>
        <w:top w:val="none" w:sz="0" w:space="0" w:color="auto"/>
        <w:left w:val="none" w:sz="0" w:space="0" w:color="auto"/>
        <w:bottom w:val="none" w:sz="0" w:space="0" w:color="auto"/>
        <w:right w:val="none" w:sz="0" w:space="0" w:color="auto"/>
      </w:divBdr>
    </w:div>
    <w:div w:id="1632176669">
      <w:bodyDiv w:val="1"/>
      <w:marLeft w:val="0"/>
      <w:marRight w:val="0"/>
      <w:marTop w:val="0"/>
      <w:marBottom w:val="0"/>
      <w:divBdr>
        <w:top w:val="none" w:sz="0" w:space="0" w:color="auto"/>
        <w:left w:val="none" w:sz="0" w:space="0" w:color="auto"/>
        <w:bottom w:val="none" w:sz="0" w:space="0" w:color="auto"/>
        <w:right w:val="none" w:sz="0" w:space="0" w:color="auto"/>
      </w:divBdr>
    </w:div>
    <w:div w:id="1644459628">
      <w:bodyDiv w:val="1"/>
      <w:marLeft w:val="0"/>
      <w:marRight w:val="0"/>
      <w:marTop w:val="0"/>
      <w:marBottom w:val="0"/>
      <w:divBdr>
        <w:top w:val="none" w:sz="0" w:space="0" w:color="auto"/>
        <w:left w:val="none" w:sz="0" w:space="0" w:color="auto"/>
        <w:bottom w:val="none" w:sz="0" w:space="0" w:color="auto"/>
        <w:right w:val="none" w:sz="0" w:space="0" w:color="auto"/>
      </w:divBdr>
    </w:div>
    <w:div w:id="1671177282">
      <w:bodyDiv w:val="1"/>
      <w:marLeft w:val="0"/>
      <w:marRight w:val="0"/>
      <w:marTop w:val="0"/>
      <w:marBottom w:val="0"/>
      <w:divBdr>
        <w:top w:val="none" w:sz="0" w:space="0" w:color="auto"/>
        <w:left w:val="none" w:sz="0" w:space="0" w:color="auto"/>
        <w:bottom w:val="none" w:sz="0" w:space="0" w:color="auto"/>
        <w:right w:val="none" w:sz="0" w:space="0" w:color="auto"/>
      </w:divBdr>
    </w:div>
    <w:div w:id="1673795089">
      <w:bodyDiv w:val="1"/>
      <w:marLeft w:val="0"/>
      <w:marRight w:val="0"/>
      <w:marTop w:val="0"/>
      <w:marBottom w:val="0"/>
      <w:divBdr>
        <w:top w:val="none" w:sz="0" w:space="0" w:color="auto"/>
        <w:left w:val="none" w:sz="0" w:space="0" w:color="auto"/>
        <w:bottom w:val="none" w:sz="0" w:space="0" w:color="auto"/>
        <w:right w:val="none" w:sz="0" w:space="0" w:color="auto"/>
      </w:divBdr>
    </w:div>
    <w:div w:id="1675254688">
      <w:bodyDiv w:val="1"/>
      <w:marLeft w:val="0"/>
      <w:marRight w:val="0"/>
      <w:marTop w:val="0"/>
      <w:marBottom w:val="0"/>
      <w:divBdr>
        <w:top w:val="none" w:sz="0" w:space="0" w:color="auto"/>
        <w:left w:val="none" w:sz="0" w:space="0" w:color="auto"/>
        <w:bottom w:val="none" w:sz="0" w:space="0" w:color="auto"/>
        <w:right w:val="none" w:sz="0" w:space="0" w:color="auto"/>
      </w:divBdr>
    </w:div>
    <w:div w:id="1742173593">
      <w:bodyDiv w:val="1"/>
      <w:marLeft w:val="0"/>
      <w:marRight w:val="0"/>
      <w:marTop w:val="0"/>
      <w:marBottom w:val="0"/>
      <w:divBdr>
        <w:top w:val="none" w:sz="0" w:space="0" w:color="auto"/>
        <w:left w:val="none" w:sz="0" w:space="0" w:color="auto"/>
        <w:bottom w:val="none" w:sz="0" w:space="0" w:color="auto"/>
        <w:right w:val="none" w:sz="0" w:space="0" w:color="auto"/>
      </w:divBdr>
    </w:div>
    <w:div w:id="1767727215">
      <w:bodyDiv w:val="1"/>
      <w:marLeft w:val="0"/>
      <w:marRight w:val="0"/>
      <w:marTop w:val="0"/>
      <w:marBottom w:val="0"/>
      <w:divBdr>
        <w:top w:val="none" w:sz="0" w:space="0" w:color="auto"/>
        <w:left w:val="none" w:sz="0" w:space="0" w:color="auto"/>
        <w:bottom w:val="none" w:sz="0" w:space="0" w:color="auto"/>
        <w:right w:val="none" w:sz="0" w:space="0" w:color="auto"/>
      </w:divBdr>
    </w:div>
    <w:div w:id="1797672981">
      <w:bodyDiv w:val="1"/>
      <w:marLeft w:val="0"/>
      <w:marRight w:val="0"/>
      <w:marTop w:val="0"/>
      <w:marBottom w:val="0"/>
      <w:divBdr>
        <w:top w:val="none" w:sz="0" w:space="0" w:color="auto"/>
        <w:left w:val="none" w:sz="0" w:space="0" w:color="auto"/>
        <w:bottom w:val="none" w:sz="0" w:space="0" w:color="auto"/>
        <w:right w:val="none" w:sz="0" w:space="0" w:color="auto"/>
      </w:divBdr>
    </w:div>
    <w:div w:id="1798255937">
      <w:bodyDiv w:val="1"/>
      <w:marLeft w:val="0"/>
      <w:marRight w:val="0"/>
      <w:marTop w:val="0"/>
      <w:marBottom w:val="0"/>
      <w:divBdr>
        <w:top w:val="none" w:sz="0" w:space="0" w:color="auto"/>
        <w:left w:val="none" w:sz="0" w:space="0" w:color="auto"/>
        <w:bottom w:val="none" w:sz="0" w:space="0" w:color="auto"/>
        <w:right w:val="none" w:sz="0" w:space="0" w:color="auto"/>
      </w:divBdr>
    </w:div>
    <w:div w:id="1813863335">
      <w:bodyDiv w:val="1"/>
      <w:marLeft w:val="0"/>
      <w:marRight w:val="0"/>
      <w:marTop w:val="0"/>
      <w:marBottom w:val="0"/>
      <w:divBdr>
        <w:top w:val="none" w:sz="0" w:space="0" w:color="auto"/>
        <w:left w:val="none" w:sz="0" w:space="0" w:color="auto"/>
        <w:bottom w:val="none" w:sz="0" w:space="0" w:color="auto"/>
        <w:right w:val="none" w:sz="0" w:space="0" w:color="auto"/>
      </w:divBdr>
    </w:div>
    <w:div w:id="1827748399">
      <w:bodyDiv w:val="1"/>
      <w:marLeft w:val="0"/>
      <w:marRight w:val="0"/>
      <w:marTop w:val="0"/>
      <w:marBottom w:val="0"/>
      <w:divBdr>
        <w:top w:val="none" w:sz="0" w:space="0" w:color="auto"/>
        <w:left w:val="none" w:sz="0" w:space="0" w:color="auto"/>
        <w:bottom w:val="none" w:sz="0" w:space="0" w:color="auto"/>
        <w:right w:val="none" w:sz="0" w:space="0" w:color="auto"/>
      </w:divBdr>
    </w:div>
    <w:div w:id="1850174143">
      <w:bodyDiv w:val="1"/>
      <w:marLeft w:val="0"/>
      <w:marRight w:val="0"/>
      <w:marTop w:val="0"/>
      <w:marBottom w:val="0"/>
      <w:divBdr>
        <w:top w:val="none" w:sz="0" w:space="0" w:color="auto"/>
        <w:left w:val="none" w:sz="0" w:space="0" w:color="auto"/>
        <w:bottom w:val="none" w:sz="0" w:space="0" w:color="auto"/>
        <w:right w:val="none" w:sz="0" w:space="0" w:color="auto"/>
      </w:divBdr>
    </w:div>
    <w:div w:id="1927768910">
      <w:bodyDiv w:val="1"/>
      <w:marLeft w:val="0"/>
      <w:marRight w:val="0"/>
      <w:marTop w:val="0"/>
      <w:marBottom w:val="0"/>
      <w:divBdr>
        <w:top w:val="none" w:sz="0" w:space="0" w:color="auto"/>
        <w:left w:val="none" w:sz="0" w:space="0" w:color="auto"/>
        <w:bottom w:val="none" w:sz="0" w:space="0" w:color="auto"/>
        <w:right w:val="none" w:sz="0" w:space="0" w:color="auto"/>
      </w:divBdr>
    </w:div>
    <w:div w:id="2003006282">
      <w:bodyDiv w:val="1"/>
      <w:marLeft w:val="0"/>
      <w:marRight w:val="0"/>
      <w:marTop w:val="0"/>
      <w:marBottom w:val="0"/>
      <w:divBdr>
        <w:top w:val="none" w:sz="0" w:space="0" w:color="auto"/>
        <w:left w:val="none" w:sz="0" w:space="0" w:color="auto"/>
        <w:bottom w:val="none" w:sz="0" w:space="0" w:color="auto"/>
        <w:right w:val="none" w:sz="0" w:space="0" w:color="auto"/>
      </w:divBdr>
    </w:div>
    <w:div w:id="2006518937">
      <w:bodyDiv w:val="1"/>
      <w:marLeft w:val="0"/>
      <w:marRight w:val="0"/>
      <w:marTop w:val="0"/>
      <w:marBottom w:val="0"/>
      <w:divBdr>
        <w:top w:val="none" w:sz="0" w:space="0" w:color="auto"/>
        <w:left w:val="none" w:sz="0" w:space="0" w:color="auto"/>
        <w:bottom w:val="none" w:sz="0" w:space="0" w:color="auto"/>
        <w:right w:val="none" w:sz="0" w:space="0" w:color="auto"/>
      </w:divBdr>
    </w:div>
    <w:div w:id="2038458540">
      <w:bodyDiv w:val="1"/>
      <w:marLeft w:val="0"/>
      <w:marRight w:val="0"/>
      <w:marTop w:val="0"/>
      <w:marBottom w:val="0"/>
      <w:divBdr>
        <w:top w:val="none" w:sz="0" w:space="0" w:color="auto"/>
        <w:left w:val="none" w:sz="0" w:space="0" w:color="auto"/>
        <w:bottom w:val="none" w:sz="0" w:space="0" w:color="auto"/>
        <w:right w:val="none" w:sz="0" w:space="0" w:color="auto"/>
      </w:divBdr>
    </w:div>
    <w:div w:id="2056462506">
      <w:bodyDiv w:val="1"/>
      <w:marLeft w:val="0"/>
      <w:marRight w:val="0"/>
      <w:marTop w:val="0"/>
      <w:marBottom w:val="0"/>
      <w:divBdr>
        <w:top w:val="none" w:sz="0" w:space="0" w:color="auto"/>
        <w:left w:val="none" w:sz="0" w:space="0" w:color="auto"/>
        <w:bottom w:val="none" w:sz="0" w:space="0" w:color="auto"/>
        <w:right w:val="none" w:sz="0" w:space="0" w:color="auto"/>
      </w:divBdr>
    </w:div>
    <w:div w:id="2065906446">
      <w:bodyDiv w:val="1"/>
      <w:marLeft w:val="0"/>
      <w:marRight w:val="0"/>
      <w:marTop w:val="0"/>
      <w:marBottom w:val="0"/>
      <w:divBdr>
        <w:top w:val="none" w:sz="0" w:space="0" w:color="auto"/>
        <w:left w:val="none" w:sz="0" w:space="0" w:color="auto"/>
        <w:bottom w:val="none" w:sz="0" w:space="0" w:color="auto"/>
        <w:right w:val="none" w:sz="0" w:space="0" w:color="auto"/>
      </w:divBdr>
    </w:div>
    <w:div w:id="2119134551">
      <w:bodyDiv w:val="1"/>
      <w:marLeft w:val="0"/>
      <w:marRight w:val="0"/>
      <w:marTop w:val="0"/>
      <w:marBottom w:val="0"/>
      <w:divBdr>
        <w:top w:val="none" w:sz="0" w:space="0" w:color="auto"/>
        <w:left w:val="none" w:sz="0" w:space="0" w:color="auto"/>
        <w:bottom w:val="none" w:sz="0" w:space="0" w:color="auto"/>
        <w:right w:val="none" w:sz="0" w:space="0" w:color="auto"/>
      </w:divBdr>
    </w:div>
    <w:div w:id="214639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doi.org/10.1186/s40663-015-0033-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nnualreviews.org/doi/pdf/10.1146/annurev.nu.16.070196.002221"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research.libraries.wsu.edu/xmlui/handle/2376/921?show=ful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karuk.us/images/docs/dnr/ECRMP_6-15-10_do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yuroktribe.org/departments/forestry/Documents/FMP2012DraftRev3.14.pdf"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10.4996/fireecology.0302003" TargetMode="External"/><Relationship Id="rId10" Type="http://schemas.openxmlformats.org/officeDocument/2006/relationships/footer" Target="footer1.xml"/><Relationship Id="rId19" Type="http://schemas.openxmlformats.org/officeDocument/2006/relationships/hyperlink" Target="https://www.hoopa-nsn.gov/wp-content/uploads/2018/12/Community-Wildfire-Protection-Plan.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s://doi.org/10.5849/jof.2016-043R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6DA84-1816-0343-9293-B81DFE61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7611</Words>
  <Characters>43389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 Saiz</dc:creator>
  <cp:keywords/>
  <dc:description/>
  <cp:lastModifiedBy>Microsoft Office User</cp:lastModifiedBy>
  <cp:revision>2</cp:revision>
  <dcterms:created xsi:type="dcterms:W3CDTF">2023-03-04T01:49:00Z</dcterms:created>
  <dcterms:modified xsi:type="dcterms:W3CDTF">2023-03-04T01:49:00Z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e2d579f9-fbc2-3c27-b1ba-dcffd207f95a</vt:lpwstr>
  </property>
  <property fmtid="{D5CDD505-2E9C-101B-9397-08002B2CF9AE}" pid="24" name="Mendeley Citation Style_1">
    <vt:lpwstr>http://www.zotero.org/styles/modern-language-association</vt:lpwstr>
  </property>
</Properties>
</file>